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A8" w:rsidRPr="00341F1F" w:rsidRDefault="00341F1F">
      <w:pPr>
        <w:rPr>
          <w:b/>
          <w:sz w:val="40"/>
          <w:szCs w:val="40"/>
        </w:rPr>
      </w:pPr>
      <w:r w:rsidRPr="00341F1F">
        <w:rPr>
          <w:b/>
          <w:sz w:val="40"/>
          <w:szCs w:val="40"/>
        </w:rPr>
        <w:t>Checkliste für effektive Partizipation</w:t>
      </w:r>
    </w:p>
    <w:p w:rsidR="00341F1F" w:rsidRPr="00341F1F" w:rsidRDefault="00341F1F">
      <w:pPr>
        <w:rPr>
          <w:b/>
          <w:color w:val="70AD47" w:themeColor="accent6"/>
          <w:sz w:val="40"/>
          <w:szCs w:val="40"/>
        </w:rPr>
      </w:pPr>
    </w:p>
    <w:p w:rsidR="00341F1F" w:rsidRDefault="00341F1F">
      <w:pPr>
        <w:rPr>
          <w:b/>
          <w:color w:val="70AD47" w:themeColor="accent6"/>
          <w:sz w:val="40"/>
          <w:szCs w:val="40"/>
        </w:rPr>
      </w:pPr>
      <w:r w:rsidRPr="00341F1F">
        <w:rPr>
          <w:b/>
          <w:color w:val="70AD47" w:themeColor="accent6"/>
          <w:sz w:val="40"/>
          <w:szCs w:val="40"/>
        </w:rPr>
        <w:t>Die Struktur</w:t>
      </w:r>
    </w:p>
    <w:p w:rsidR="00FC6CFD" w:rsidRPr="00FC6CFD" w:rsidRDefault="00FC6CFD" w:rsidP="00FC6CFD">
      <w:pPr>
        <w:pStyle w:val="Listenabsatz"/>
        <w:numPr>
          <w:ilvl w:val="0"/>
          <w:numId w:val="4"/>
        </w:numPr>
        <w:spacing w:line="360" w:lineRule="auto"/>
        <w:ind w:right="567"/>
        <w:rPr>
          <w:rFonts w:ascii="Calibri" w:hAnsi="Calibri" w:cs="Calibri"/>
          <w:b/>
          <w:bCs/>
          <w:color w:val="6FAC47"/>
        </w:rPr>
      </w:pPr>
      <w:r w:rsidRPr="00FC6CFD">
        <w:rPr>
          <w:rFonts w:ascii="Calibri" w:hAnsi="Calibri" w:cs="Calibri"/>
          <w:b/>
          <w:bCs/>
          <w:color w:val="6FAC47"/>
        </w:rPr>
        <w:t>Verbindlichkeit</w:t>
      </w:r>
    </w:p>
    <w:p w:rsidR="00341F1F" w:rsidRPr="00C2031D" w:rsidRDefault="00341F1F" w:rsidP="00FC6CFD">
      <w:pPr>
        <w:spacing w:line="360" w:lineRule="auto"/>
        <w:ind w:left="360" w:right="567"/>
        <w:rPr>
          <w:rFonts w:ascii="Calibri" w:hAnsi="Calibri" w:cs="Calibri"/>
          <w:color w:val="70AD47" w:themeColor="accent6"/>
        </w:rPr>
      </w:pPr>
      <w:r w:rsidRPr="00FC6CFD">
        <w:rPr>
          <w:rFonts w:ascii="Calibri" w:hAnsi="Calibri" w:cs="Calibri"/>
          <w:b/>
          <w:bCs/>
          <w:color w:val="6FAC47"/>
        </w:rPr>
        <w:t xml:space="preserve">Eine Festlegung der Aufgaben, Rechte und Pflichten einer Interessenvertretung, die überdies verbindlich in Form einer Satzung geregelt ist, hat gleich mehrere Effekte. Sie erhöht die Verbindlichkeit und schafft Vertrauen, sie erleichtert die (Zusammen)-arbeit und sie sorgt dafür, dass die Interessenvertretung als solche anerkannt wird.  </w:t>
      </w:r>
      <w:r w:rsidR="00FC6CFD">
        <w:rPr>
          <w:rFonts w:ascii="Calibri" w:hAnsi="Calibri" w:cs="Calibri"/>
          <w:b/>
          <w:bCs/>
          <w:color w:val="6FAC47"/>
        </w:rPr>
        <w:t>Ein klarer Auftrag und ein sicheres Standing helfen auch in der Wirkung nach außen. Bürger*innen mit Behinderungen und chronischen Erkrankungen können sich leichter ein Bild von der Vertretung und ihrer Arbeitsweise machen und sich so möglicherweise auch leichter einbringen</w:t>
      </w:r>
      <w:r w:rsidRPr="77FBAD48">
        <w:rPr>
          <w:rFonts w:ascii="Calibri" w:hAnsi="Calibri" w:cs="Calibri"/>
          <w:b/>
          <w:bCs/>
          <w:color w:val="6FAC47"/>
        </w:rPr>
        <w:t xml:space="preserve">. Auf dieser Grundlage fällt die Entscheidung für ein Engagement innerhalb der Vertretungsstrukturen leichter. </w:t>
      </w:r>
    </w:p>
    <w:p w:rsidR="00341F1F" w:rsidRPr="00341F1F" w:rsidRDefault="00341F1F" w:rsidP="00341F1F">
      <w:pPr>
        <w:spacing w:line="360" w:lineRule="auto"/>
        <w:ind w:right="567"/>
        <w:rPr>
          <w:rFonts w:ascii="Calibri" w:hAnsi="Calibri" w:cs="Calibri"/>
          <w:b/>
          <w:bCs/>
          <w:color w:val="70AD47" w:themeColor="accent6"/>
        </w:rPr>
      </w:pPr>
    </w:p>
    <w:tbl>
      <w:tblPr>
        <w:tblStyle w:val="Tabellenraster"/>
        <w:tblW w:w="15187" w:type="dxa"/>
        <w:tblLook w:val="04A0" w:firstRow="1" w:lastRow="0" w:firstColumn="1" w:lastColumn="0" w:noHBand="0" w:noVBand="1"/>
      </w:tblPr>
      <w:tblGrid>
        <w:gridCol w:w="1989"/>
        <w:gridCol w:w="6271"/>
        <w:gridCol w:w="4801"/>
        <w:gridCol w:w="1081"/>
        <w:gridCol w:w="1045"/>
      </w:tblGrid>
      <w:tr w:rsidR="00341F1F" w:rsidRPr="00341F1F" w:rsidTr="00341F1F">
        <w:trPr>
          <w:trHeight w:val="1231"/>
        </w:trPr>
        <w:tc>
          <w:tcPr>
            <w:tcW w:w="1989" w:type="dxa"/>
          </w:tcPr>
          <w:p w:rsidR="00341F1F" w:rsidRPr="00341F1F" w:rsidRDefault="00341F1F">
            <w:pPr>
              <w:rPr>
                <w:b/>
                <w:color w:val="70AD47" w:themeColor="accent6"/>
              </w:rPr>
            </w:pPr>
            <w:r w:rsidRPr="00341F1F">
              <w:rPr>
                <w:b/>
                <w:color w:val="70AD47" w:themeColor="accent6"/>
              </w:rPr>
              <w:t>Aspekt</w:t>
            </w:r>
          </w:p>
          <w:p w:rsidR="00341F1F" w:rsidRPr="00341F1F" w:rsidRDefault="00341F1F">
            <w:pPr>
              <w:rPr>
                <w:b/>
                <w:color w:val="70AD47" w:themeColor="accent6"/>
              </w:rPr>
            </w:pPr>
          </w:p>
        </w:tc>
        <w:tc>
          <w:tcPr>
            <w:tcW w:w="6271" w:type="dxa"/>
          </w:tcPr>
          <w:p w:rsidR="00341F1F" w:rsidRPr="00341F1F" w:rsidRDefault="00341F1F" w:rsidP="00FC6CFD">
            <w:pPr>
              <w:spacing w:line="276" w:lineRule="auto"/>
              <w:rPr>
                <w:b/>
                <w:color w:val="70AD47" w:themeColor="accent6"/>
              </w:rPr>
            </w:pPr>
            <w:r w:rsidRPr="00341F1F">
              <w:rPr>
                <w:b/>
                <w:color w:val="70AD47" w:themeColor="accent6"/>
              </w:rPr>
              <w:t>Leitfragen</w:t>
            </w:r>
          </w:p>
        </w:tc>
        <w:tc>
          <w:tcPr>
            <w:tcW w:w="4801" w:type="dxa"/>
          </w:tcPr>
          <w:p w:rsidR="00341F1F" w:rsidRPr="00341F1F" w:rsidRDefault="00341F1F">
            <w:pPr>
              <w:rPr>
                <w:b/>
                <w:color w:val="70AD47" w:themeColor="accent6"/>
              </w:rPr>
            </w:pPr>
            <w:r w:rsidRPr="00341F1F">
              <w:rPr>
                <w:b/>
                <w:color w:val="70AD47" w:themeColor="accent6"/>
              </w:rPr>
              <w:t>Rechtlicher Bezug</w:t>
            </w:r>
          </w:p>
        </w:tc>
        <w:tc>
          <w:tcPr>
            <w:tcW w:w="1081" w:type="dxa"/>
          </w:tcPr>
          <w:p w:rsidR="00341F1F" w:rsidRPr="00341F1F" w:rsidRDefault="00341F1F">
            <w:pPr>
              <w:rPr>
                <w:b/>
                <w:color w:val="70AD47" w:themeColor="accent6"/>
              </w:rPr>
            </w:pPr>
            <w:r w:rsidRPr="00341F1F">
              <w:rPr>
                <w:b/>
                <w:color w:val="70AD47" w:themeColor="accent6"/>
              </w:rPr>
              <w:t>Setzen wir bereits um</w:t>
            </w:r>
          </w:p>
        </w:tc>
        <w:tc>
          <w:tcPr>
            <w:tcW w:w="1045" w:type="dxa"/>
          </w:tcPr>
          <w:p w:rsidR="00341F1F" w:rsidRPr="00341F1F" w:rsidRDefault="00341F1F">
            <w:pPr>
              <w:rPr>
                <w:b/>
                <w:color w:val="70AD47" w:themeColor="accent6"/>
              </w:rPr>
            </w:pPr>
            <w:r w:rsidRPr="00341F1F">
              <w:rPr>
                <w:b/>
                <w:color w:val="70AD47" w:themeColor="accent6"/>
              </w:rPr>
              <w:t>Setzen wir noch nicht um</w:t>
            </w:r>
          </w:p>
        </w:tc>
      </w:tr>
      <w:tr w:rsidR="00341F1F" w:rsidTr="00341F1F">
        <w:trPr>
          <w:trHeight w:val="1259"/>
        </w:trPr>
        <w:tc>
          <w:tcPr>
            <w:tcW w:w="1989" w:type="dxa"/>
          </w:tcPr>
          <w:p w:rsidR="00341F1F" w:rsidRDefault="00341F1F">
            <w:r>
              <w:t>Verbindlichkeit</w:t>
            </w:r>
          </w:p>
        </w:tc>
        <w:tc>
          <w:tcPr>
            <w:tcW w:w="6271" w:type="dxa"/>
          </w:tcPr>
          <w:p w:rsidR="00341F1F" w:rsidRDefault="00341F1F" w:rsidP="00FC6CFD">
            <w:pPr>
              <w:pStyle w:val="Listenabsatz"/>
              <w:numPr>
                <w:ilvl w:val="0"/>
                <w:numId w:val="1"/>
              </w:numPr>
              <w:spacing w:line="276" w:lineRule="auto"/>
            </w:pPr>
            <w:r>
              <w:t>Wurde oder wird gemeinsam mit Vertreter*innen der Selbsthilfe offen und transparent eine angemessene Vertretungsstruktur entwickelt?</w:t>
            </w:r>
          </w:p>
          <w:p w:rsidR="006E1F44" w:rsidRDefault="006E1F44" w:rsidP="006E1F44">
            <w:pPr>
              <w:pStyle w:val="Listenabsatz"/>
              <w:spacing w:line="276" w:lineRule="auto"/>
            </w:pPr>
          </w:p>
          <w:p w:rsidR="00341F1F" w:rsidRPr="00341F1F" w:rsidRDefault="00341F1F" w:rsidP="00FC6CFD">
            <w:pPr>
              <w:pStyle w:val="Listenabsatz"/>
              <w:numPr>
                <w:ilvl w:val="0"/>
                <w:numId w:val="1"/>
              </w:numPr>
              <w:spacing w:line="276" w:lineRule="auto"/>
            </w:pPr>
            <w:r>
              <w:lastRenderedPageBreak/>
              <w:t xml:space="preserve">Wurde eine klare und strukturierte Gremiensatzung für </w:t>
            </w:r>
            <w:r w:rsidRPr="00341F1F">
              <w:rPr>
                <w:rFonts w:ascii="Calibri" w:hAnsi="Calibri" w:cs="Calibri"/>
              </w:rPr>
              <w:t>die für die Expert*innen in eigener Sache möglichst umfassende Partizipationsrechte sicherstellt</w:t>
            </w:r>
            <w:r w:rsidR="00FC6CFD">
              <w:rPr>
                <w:rFonts w:ascii="Calibri" w:hAnsi="Calibri" w:cs="Calibri"/>
              </w:rPr>
              <w:t>?</w:t>
            </w:r>
          </w:p>
          <w:p w:rsidR="00FC6CFD" w:rsidRDefault="00FC6CFD" w:rsidP="00FC6CFD">
            <w:pPr>
              <w:pStyle w:val="Listenabsatz"/>
              <w:numPr>
                <w:ilvl w:val="0"/>
                <w:numId w:val="1"/>
              </w:numPr>
              <w:spacing w:line="276" w:lineRule="auto"/>
              <w:ind w:right="567"/>
              <w:rPr>
                <w:rFonts w:ascii="Calibri" w:hAnsi="Calibri" w:cs="Calibri"/>
              </w:rPr>
            </w:pPr>
            <w:r w:rsidRPr="00FC6CFD">
              <w:rPr>
                <w:rFonts w:ascii="Calibri" w:hAnsi="Calibri" w:cs="Calibri"/>
              </w:rPr>
              <w:t>Stellt die Gremiensatzung sicher, dass die Betroffenen die inhaltliche Arbeit der Interessenvertretung selbst bestimmen (z.B. Erstellung der Tagesordnung, Wahl des Vorsitzes)?</w:t>
            </w:r>
          </w:p>
          <w:p w:rsidR="006E1F44" w:rsidRPr="00FC6CFD" w:rsidRDefault="006E1F44" w:rsidP="006E1F44">
            <w:pPr>
              <w:pStyle w:val="Listenabsatz"/>
              <w:spacing w:line="276" w:lineRule="auto"/>
              <w:ind w:right="567"/>
              <w:rPr>
                <w:rFonts w:ascii="Calibri" w:hAnsi="Calibri" w:cs="Calibri"/>
              </w:rPr>
            </w:pPr>
          </w:p>
          <w:p w:rsidR="00FC6CFD" w:rsidRDefault="00FC6CFD" w:rsidP="00FC6CFD">
            <w:pPr>
              <w:pStyle w:val="Listenabsatz"/>
              <w:numPr>
                <w:ilvl w:val="0"/>
                <w:numId w:val="1"/>
              </w:numPr>
              <w:spacing w:line="276" w:lineRule="auto"/>
              <w:ind w:right="567"/>
              <w:rPr>
                <w:rFonts w:ascii="Calibri" w:hAnsi="Calibri" w:cs="Calibri"/>
              </w:rPr>
            </w:pPr>
            <w:r w:rsidRPr="00FC6CFD">
              <w:rPr>
                <w:rFonts w:ascii="Calibri" w:hAnsi="Calibri" w:cs="Calibri"/>
              </w:rPr>
              <w:t>Wurden zuverlässigen Eckpunkten bezüglich der Ziele, Mitglieder und Wahlverfahren, Aufgaben, Arbeitsweise, Rechte, Zusammensetzung, Ressourcen und Unterstützungsleistungen, die nicht zu stark von wechselnden Einzelpersonen abhängt, festgelegt?</w:t>
            </w:r>
          </w:p>
          <w:p w:rsidR="006E1F44" w:rsidRPr="006E1F44" w:rsidRDefault="006E1F44" w:rsidP="006E1F44">
            <w:pPr>
              <w:spacing w:line="276" w:lineRule="auto"/>
              <w:ind w:right="567"/>
              <w:rPr>
                <w:rFonts w:ascii="Calibri" w:hAnsi="Calibri" w:cs="Calibri"/>
              </w:rPr>
            </w:pPr>
          </w:p>
          <w:p w:rsidR="00FC6CFD" w:rsidRPr="00FC6CFD" w:rsidRDefault="00FC6CFD" w:rsidP="00FC6CFD">
            <w:pPr>
              <w:pStyle w:val="Listenabsatz"/>
              <w:numPr>
                <w:ilvl w:val="0"/>
                <w:numId w:val="1"/>
              </w:numPr>
              <w:spacing w:line="276" w:lineRule="auto"/>
              <w:textAlignment w:val="baseline"/>
              <w:rPr>
                <w:rFonts w:ascii="Calibri" w:eastAsia="Times New Roman" w:hAnsi="Calibri" w:cs="Calibri"/>
                <w:lang w:eastAsia="de-DE"/>
              </w:rPr>
            </w:pPr>
            <w:r w:rsidRPr="00FC6CFD">
              <w:rPr>
                <w:rFonts w:ascii="Calibri" w:eastAsia="Times New Roman" w:hAnsi="Calibri" w:cs="Calibri"/>
                <w:lang w:eastAsia="de-DE"/>
              </w:rPr>
              <w:t>Sind die Belange von Menschen mit Behinderungen und chronischen Erkrankungen unmittelbar in der Hauptsatzung verankert? Bekommen sie also einen ebenso hohen Stellenwert in kommunalen Angelegenheiten, wie dies bereits vielfach für die Wahrung der Belange von Frauen durch Gleichstellungsbeauftragte oder für Menschen mit Migrationsvorgeschichte durch Integrationsräte der Fall ist?</w:t>
            </w:r>
          </w:p>
          <w:p w:rsidR="00341F1F" w:rsidRDefault="00341F1F" w:rsidP="00FC6CFD">
            <w:pPr>
              <w:pStyle w:val="Listenabsatz"/>
              <w:spacing w:line="276" w:lineRule="auto"/>
            </w:pPr>
          </w:p>
        </w:tc>
        <w:tc>
          <w:tcPr>
            <w:tcW w:w="4801" w:type="dxa"/>
          </w:tcPr>
          <w:p w:rsidR="00341F1F" w:rsidRDefault="00FC6CFD" w:rsidP="00FC6CFD">
            <w:r>
              <w:lastRenderedPageBreak/>
              <w:t xml:space="preserve">„Die Wahrung der Belange von Menschen mit Behinderungen auch auf örtlicher Ebene ist eine Aufgabe von wesentlicher Bedeutung sowohl für die volle, wirksame und gleichberechtigte Teilhabe von Menschen mit Behinderungen als auch für die selbstbestimmte und selbstständige Lebensführung, die Wahrnehmung der Menschen </w:t>
            </w:r>
            <w:r>
              <w:lastRenderedPageBreak/>
              <w:t>mit Behinderungen als Teil menschlicher Vielfalt sowie für den Schutz vor Diskriminierungen und Benachteiligungen. Das Nähere zur Wahrung der Belange von Menschen mit Behinderungen bestimmen die Gemeinden und Gemeindeverbände durch Satzung.“</w:t>
            </w:r>
          </w:p>
          <w:p w:rsidR="00FC6CFD" w:rsidRDefault="00FC6CFD" w:rsidP="00FC6CFD"/>
          <w:p w:rsidR="00FC6CFD" w:rsidRDefault="00FC6CFD" w:rsidP="00FC6CFD">
            <w:r>
              <w:t xml:space="preserve">Behindertengleichstellungsgesetz NRW, § 13 </w:t>
            </w:r>
          </w:p>
        </w:tc>
        <w:tc>
          <w:tcPr>
            <w:tcW w:w="1081" w:type="dxa"/>
          </w:tcPr>
          <w:p w:rsidR="00341F1F" w:rsidRDefault="00341F1F"/>
        </w:tc>
        <w:tc>
          <w:tcPr>
            <w:tcW w:w="1045" w:type="dxa"/>
          </w:tcPr>
          <w:p w:rsidR="00341F1F" w:rsidRDefault="00341F1F"/>
        </w:tc>
      </w:tr>
    </w:tbl>
    <w:p w:rsidR="00341F1F" w:rsidRDefault="00341F1F"/>
    <w:p w:rsidR="002C3874" w:rsidRDefault="002C3874"/>
    <w:p w:rsidR="002C3874" w:rsidRPr="002C3874" w:rsidRDefault="002C3874" w:rsidP="002C3874">
      <w:pPr>
        <w:pStyle w:val="Listenabsatz"/>
        <w:numPr>
          <w:ilvl w:val="0"/>
          <w:numId w:val="4"/>
        </w:numPr>
        <w:spacing w:line="360" w:lineRule="auto"/>
        <w:ind w:right="567"/>
        <w:jc w:val="both"/>
        <w:rPr>
          <w:rFonts w:ascii="Calibri" w:hAnsi="Calibri" w:cs="Calibri"/>
          <w:color w:val="70AD47" w:themeColor="accent6"/>
        </w:rPr>
      </w:pPr>
      <w:r w:rsidRPr="002C3874">
        <w:rPr>
          <w:rFonts w:ascii="Calibri" w:hAnsi="Calibri" w:cs="Calibri"/>
          <w:b/>
          <w:color w:val="70AD47" w:themeColor="accent6"/>
        </w:rPr>
        <w:t>Gleichstellung und Vernetzung der Interessenvertretung mit anderen politischen Gremien</w:t>
      </w:r>
    </w:p>
    <w:p w:rsidR="002C3874" w:rsidRPr="002C3874" w:rsidRDefault="002C3874" w:rsidP="002C3874">
      <w:pPr>
        <w:spacing w:line="360" w:lineRule="auto"/>
        <w:ind w:right="567"/>
        <w:jc w:val="both"/>
        <w:rPr>
          <w:rFonts w:ascii="Calibri" w:hAnsi="Calibri" w:cs="Calibri"/>
          <w:color w:val="70AD47" w:themeColor="accent6"/>
        </w:rPr>
      </w:pPr>
      <w:r w:rsidRPr="002C3874">
        <w:rPr>
          <w:rFonts w:ascii="Calibri" w:hAnsi="Calibri" w:cs="Calibri"/>
          <w:color w:val="70AD47" w:themeColor="accent6"/>
        </w:rPr>
        <w:lastRenderedPageBreak/>
        <w:t xml:space="preserve">Für effektive politische Arbeit ist es wesentlich, dass die Interessenvertretung an alle relevanten politischen Prozesse angebunden und dass ein Austausch zwischen gewählten Vertreter*innen, Verantwortlichen aus Verwaltung und anderen Gremien stattfindet. </w:t>
      </w:r>
    </w:p>
    <w:p w:rsidR="002C3874" w:rsidRDefault="002C3874"/>
    <w:tbl>
      <w:tblPr>
        <w:tblStyle w:val="Tabellenraster"/>
        <w:tblW w:w="15187" w:type="dxa"/>
        <w:tblLook w:val="04A0" w:firstRow="1" w:lastRow="0" w:firstColumn="1" w:lastColumn="0" w:noHBand="0" w:noVBand="1"/>
      </w:tblPr>
      <w:tblGrid>
        <w:gridCol w:w="1989"/>
        <w:gridCol w:w="6271"/>
        <w:gridCol w:w="4801"/>
        <w:gridCol w:w="1081"/>
        <w:gridCol w:w="1045"/>
      </w:tblGrid>
      <w:tr w:rsidR="00FC6CFD" w:rsidRPr="00341F1F" w:rsidTr="00546ED8">
        <w:trPr>
          <w:trHeight w:val="1231"/>
        </w:trPr>
        <w:tc>
          <w:tcPr>
            <w:tcW w:w="1989" w:type="dxa"/>
          </w:tcPr>
          <w:p w:rsidR="00FC6CFD" w:rsidRPr="00341F1F" w:rsidRDefault="00FC6CFD" w:rsidP="00546ED8">
            <w:pPr>
              <w:rPr>
                <w:b/>
                <w:color w:val="70AD47" w:themeColor="accent6"/>
              </w:rPr>
            </w:pPr>
            <w:r w:rsidRPr="00341F1F">
              <w:rPr>
                <w:b/>
                <w:color w:val="70AD47" w:themeColor="accent6"/>
              </w:rPr>
              <w:t>Aspekt</w:t>
            </w:r>
          </w:p>
          <w:p w:rsidR="00FC6CFD" w:rsidRPr="00341F1F" w:rsidRDefault="00FC6CFD" w:rsidP="00546ED8">
            <w:pPr>
              <w:rPr>
                <w:b/>
                <w:color w:val="70AD47" w:themeColor="accent6"/>
              </w:rPr>
            </w:pPr>
          </w:p>
        </w:tc>
        <w:tc>
          <w:tcPr>
            <w:tcW w:w="6271" w:type="dxa"/>
          </w:tcPr>
          <w:p w:rsidR="00FC6CFD" w:rsidRPr="00341F1F" w:rsidRDefault="00FC6CFD" w:rsidP="00546ED8">
            <w:pPr>
              <w:spacing w:line="276" w:lineRule="auto"/>
              <w:rPr>
                <w:b/>
                <w:color w:val="70AD47" w:themeColor="accent6"/>
              </w:rPr>
            </w:pPr>
            <w:r w:rsidRPr="00341F1F">
              <w:rPr>
                <w:b/>
                <w:color w:val="70AD47" w:themeColor="accent6"/>
              </w:rPr>
              <w:t>Leitfragen</w:t>
            </w:r>
          </w:p>
        </w:tc>
        <w:tc>
          <w:tcPr>
            <w:tcW w:w="4801" w:type="dxa"/>
          </w:tcPr>
          <w:p w:rsidR="00FC6CFD" w:rsidRPr="00341F1F" w:rsidRDefault="00FC6CFD" w:rsidP="00546ED8">
            <w:pPr>
              <w:rPr>
                <w:b/>
                <w:color w:val="70AD47" w:themeColor="accent6"/>
              </w:rPr>
            </w:pPr>
            <w:r w:rsidRPr="00341F1F">
              <w:rPr>
                <w:b/>
                <w:color w:val="70AD47" w:themeColor="accent6"/>
              </w:rPr>
              <w:t>Rechtlicher Bezug</w:t>
            </w:r>
          </w:p>
        </w:tc>
        <w:tc>
          <w:tcPr>
            <w:tcW w:w="1081" w:type="dxa"/>
          </w:tcPr>
          <w:p w:rsidR="00FC6CFD" w:rsidRPr="00341F1F" w:rsidRDefault="00FC6CFD" w:rsidP="00546ED8">
            <w:pPr>
              <w:rPr>
                <w:b/>
                <w:color w:val="70AD47" w:themeColor="accent6"/>
              </w:rPr>
            </w:pPr>
            <w:r w:rsidRPr="00341F1F">
              <w:rPr>
                <w:b/>
                <w:color w:val="70AD47" w:themeColor="accent6"/>
              </w:rPr>
              <w:t>Setzen wir bereits um</w:t>
            </w:r>
          </w:p>
        </w:tc>
        <w:tc>
          <w:tcPr>
            <w:tcW w:w="1045" w:type="dxa"/>
          </w:tcPr>
          <w:p w:rsidR="00FC6CFD" w:rsidRPr="00341F1F" w:rsidRDefault="00FC6CFD" w:rsidP="00546ED8">
            <w:pPr>
              <w:rPr>
                <w:b/>
                <w:color w:val="70AD47" w:themeColor="accent6"/>
              </w:rPr>
            </w:pPr>
            <w:r w:rsidRPr="00341F1F">
              <w:rPr>
                <w:b/>
                <w:color w:val="70AD47" w:themeColor="accent6"/>
              </w:rPr>
              <w:t>Setzen wir noch nicht um</w:t>
            </w:r>
          </w:p>
        </w:tc>
      </w:tr>
      <w:tr w:rsidR="002C3874" w:rsidRPr="00341F1F" w:rsidTr="00546ED8">
        <w:trPr>
          <w:trHeight w:val="1231"/>
        </w:trPr>
        <w:tc>
          <w:tcPr>
            <w:tcW w:w="1989" w:type="dxa"/>
          </w:tcPr>
          <w:p w:rsidR="002C3874" w:rsidRPr="002C3874" w:rsidRDefault="002C3874" w:rsidP="006E1F44">
            <w:pPr>
              <w:spacing w:line="276" w:lineRule="auto"/>
              <w:rPr>
                <w:color w:val="70AD47" w:themeColor="accent6"/>
              </w:rPr>
            </w:pPr>
            <w:r w:rsidRPr="002C3874">
              <w:t>Gleichstellung und Vernetzung</w:t>
            </w:r>
          </w:p>
        </w:tc>
        <w:tc>
          <w:tcPr>
            <w:tcW w:w="6271" w:type="dxa"/>
          </w:tcPr>
          <w:p w:rsidR="006E1F44" w:rsidRDefault="006E1F44" w:rsidP="006E1F44">
            <w:pPr>
              <w:pStyle w:val="Listenabsatz"/>
              <w:numPr>
                <w:ilvl w:val="0"/>
                <w:numId w:val="6"/>
              </w:numPr>
              <w:spacing w:line="276" w:lineRule="auto"/>
              <w:ind w:right="567"/>
              <w:jc w:val="both"/>
              <w:rPr>
                <w:rFonts w:ascii="Calibri" w:hAnsi="Calibri" w:cs="Calibri"/>
              </w:rPr>
            </w:pPr>
            <w:r w:rsidRPr="006E1F44">
              <w:rPr>
                <w:rFonts w:ascii="Calibri" w:hAnsi="Calibri" w:cs="Calibri"/>
              </w:rPr>
              <w:t>Wird die Vertretung als integraler Bestandteil der kommunalen politischen Struktur verstanden?</w:t>
            </w:r>
          </w:p>
          <w:p w:rsidR="006E1F44" w:rsidRPr="006E1F44" w:rsidRDefault="006E1F44" w:rsidP="006E1F44">
            <w:pPr>
              <w:pStyle w:val="Listenabsatz"/>
              <w:spacing w:line="276" w:lineRule="auto"/>
              <w:ind w:right="567"/>
              <w:jc w:val="both"/>
              <w:rPr>
                <w:rFonts w:ascii="Calibri" w:hAnsi="Calibri" w:cs="Calibri"/>
              </w:rPr>
            </w:pPr>
          </w:p>
          <w:p w:rsidR="006E1F44" w:rsidRDefault="006E1F44" w:rsidP="006E1F44">
            <w:pPr>
              <w:pStyle w:val="Listenabsatz"/>
              <w:numPr>
                <w:ilvl w:val="0"/>
                <w:numId w:val="6"/>
              </w:numPr>
              <w:spacing w:line="276" w:lineRule="auto"/>
              <w:ind w:right="567"/>
              <w:rPr>
                <w:rFonts w:ascii="Calibri" w:hAnsi="Calibri" w:cs="Calibri"/>
              </w:rPr>
            </w:pPr>
            <w:r w:rsidRPr="006E1F44">
              <w:rPr>
                <w:rFonts w:ascii="Calibri" w:hAnsi="Calibri" w:cs="Calibri"/>
              </w:rPr>
              <w:t>Gibt es eine konstruktive Zusammenarbeit mit der kommunalen Politik, Verwaltung und anderen Akteur*innen und wird diese gepflegt? (Etwa durch regelmäßigen transparenten Austausch, barrierefreien Informationsfluss,</w:t>
            </w:r>
            <w:r>
              <w:rPr>
                <w:rFonts w:ascii="Calibri" w:hAnsi="Calibri" w:cs="Calibri"/>
              </w:rPr>
              <w:t xml:space="preserve"> etc.</w:t>
            </w:r>
            <w:r w:rsidRPr="006E1F44">
              <w:rPr>
                <w:rFonts w:ascii="Calibri" w:hAnsi="Calibri" w:cs="Calibri"/>
              </w:rPr>
              <w:t>)</w:t>
            </w:r>
          </w:p>
          <w:p w:rsidR="006E1F44" w:rsidRPr="006E1F44" w:rsidRDefault="006E1F44" w:rsidP="006E1F44">
            <w:pPr>
              <w:spacing w:line="276" w:lineRule="auto"/>
              <w:ind w:right="567"/>
              <w:rPr>
                <w:rFonts w:ascii="Calibri" w:hAnsi="Calibri" w:cs="Calibri"/>
              </w:rPr>
            </w:pPr>
          </w:p>
          <w:p w:rsidR="006E1F44" w:rsidRDefault="006E1F44" w:rsidP="006E1F44">
            <w:pPr>
              <w:pStyle w:val="Listenabsatz"/>
              <w:numPr>
                <w:ilvl w:val="0"/>
                <w:numId w:val="6"/>
              </w:numPr>
              <w:spacing w:line="276" w:lineRule="auto"/>
              <w:ind w:right="567"/>
              <w:rPr>
                <w:rFonts w:ascii="Calibri" w:hAnsi="Calibri" w:cs="Calibri"/>
              </w:rPr>
            </w:pPr>
            <w:r w:rsidRPr="006E1F44">
              <w:rPr>
                <w:rFonts w:ascii="Calibri" w:hAnsi="Calibri" w:cs="Calibri"/>
              </w:rPr>
              <w:t xml:space="preserve">Ist ein direkter Austausch und eine regelmäßige Zusammenarbeit gegeben, weil in der Interessenvertretung selbst verschiedene Personengruppen vertreten sind? Sind also Vertreter*innen der Selbsthilfe, Politik, Verwaltung und anderen Akteur*innen (z.B.: Seniorenbeirat, Integrationsrat, soziale Dienste und Einrichtungen) Teil der Interessenvertretung? </w:t>
            </w:r>
          </w:p>
          <w:p w:rsidR="006E1F44" w:rsidRPr="006E1F44" w:rsidRDefault="006E1F44" w:rsidP="006E1F44">
            <w:pPr>
              <w:spacing w:line="276" w:lineRule="auto"/>
              <w:ind w:right="567"/>
              <w:rPr>
                <w:rFonts w:ascii="Calibri" w:hAnsi="Calibri" w:cs="Calibri"/>
              </w:rPr>
            </w:pPr>
          </w:p>
          <w:p w:rsidR="006E1F44" w:rsidRDefault="006E1F44" w:rsidP="006E1F44">
            <w:pPr>
              <w:pStyle w:val="Listenabsatz"/>
              <w:numPr>
                <w:ilvl w:val="0"/>
                <w:numId w:val="6"/>
              </w:numPr>
              <w:spacing w:line="276" w:lineRule="auto"/>
              <w:ind w:right="567"/>
              <w:jc w:val="both"/>
              <w:rPr>
                <w:rFonts w:ascii="Calibri" w:hAnsi="Calibri" w:cs="Calibri"/>
              </w:rPr>
            </w:pPr>
            <w:r w:rsidRPr="006E1F44">
              <w:rPr>
                <w:rFonts w:ascii="Calibri" w:hAnsi="Calibri" w:cs="Calibri"/>
              </w:rPr>
              <w:t xml:space="preserve">Wird die Interessenvertretung als gleichberechtigte politische Diskussions-, Verhandlungs- und </w:t>
            </w:r>
            <w:r w:rsidRPr="006E1F44">
              <w:rPr>
                <w:rFonts w:ascii="Calibri" w:hAnsi="Calibri" w:cs="Calibri"/>
              </w:rPr>
              <w:lastRenderedPageBreak/>
              <w:t>Entscheidungspartnerin anerkannt und aktiv in die politischen Prozesse mit einbezogen?</w:t>
            </w:r>
          </w:p>
          <w:p w:rsidR="006E1F44" w:rsidRPr="006E1F44" w:rsidRDefault="006E1F44" w:rsidP="006E1F44">
            <w:pPr>
              <w:spacing w:line="276" w:lineRule="auto"/>
              <w:ind w:right="567"/>
              <w:jc w:val="both"/>
              <w:rPr>
                <w:rFonts w:ascii="Calibri" w:hAnsi="Calibri" w:cs="Calibri"/>
              </w:rPr>
            </w:pPr>
          </w:p>
          <w:p w:rsidR="006E1F44" w:rsidRPr="006E1F44" w:rsidRDefault="006E1F44" w:rsidP="006E1F44">
            <w:pPr>
              <w:pStyle w:val="Listenabsatz"/>
              <w:numPr>
                <w:ilvl w:val="0"/>
                <w:numId w:val="6"/>
              </w:numPr>
              <w:spacing w:line="276" w:lineRule="auto"/>
              <w:ind w:right="567"/>
              <w:rPr>
                <w:rFonts w:ascii="Calibri" w:hAnsi="Calibri" w:cs="Calibri"/>
              </w:rPr>
            </w:pPr>
            <w:r w:rsidRPr="006E1F44">
              <w:rPr>
                <w:rFonts w:ascii="Calibri" w:hAnsi="Calibri" w:cs="Calibri"/>
              </w:rPr>
              <w:t xml:space="preserve">Wurden Informations- und Kommunikationswege etabliert, die es den Mitgliedern der Interessenvertretung ermöglichen, die kommunalpolitischen Prozesse im Ganzen nachzuvollziehen? (z.B. durch regelmäßige Newsletter, Telefonate etc.) </w:t>
            </w:r>
          </w:p>
          <w:p w:rsidR="002C3874" w:rsidRPr="00341F1F" w:rsidRDefault="002C3874" w:rsidP="006E1F44">
            <w:pPr>
              <w:spacing w:line="276" w:lineRule="auto"/>
              <w:rPr>
                <w:b/>
                <w:color w:val="70AD47" w:themeColor="accent6"/>
              </w:rPr>
            </w:pPr>
          </w:p>
        </w:tc>
        <w:tc>
          <w:tcPr>
            <w:tcW w:w="4801" w:type="dxa"/>
          </w:tcPr>
          <w:p w:rsidR="002C3874" w:rsidRPr="00341F1F" w:rsidRDefault="002C3874" w:rsidP="006E1F44">
            <w:pPr>
              <w:spacing w:line="276" w:lineRule="auto"/>
              <w:rPr>
                <w:b/>
                <w:color w:val="70AD47" w:themeColor="accent6"/>
              </w:rPr>
            </w:pPr>
          </w:p>
        </w:tc>
        <w:tc>
          <w:tcPr>
            <w:tcW w:w="1081" w:type="dxa"/>
          </w:tcPr>
          <w:p w:rsidR="002C3874" w:rsidRPr="00341F1F" w:rsidRDefault="002C3874" w:rsidP="006E1F44">
            <w:pPr>
              <w:spacing w:line="276" w:lineRule="auto"/>
              <w:rPr>
                <w:b/>
                <w:color w:val="70AD47" w:themeColor="accent6"/>
              </w:rPr>
            </w:pPr>
          </w:p>
        </w:tc>
        <w:tc>
          <w:tcPr>
            <w:tcW w:w="1045" w:type="dxa"/>
          </w:tcPr>
          <w:p w:rsidR="002C3874" w:rsidRPr="00341F1F" w:rsidRDefault="002C3874" w:rsidP="006E1F44">
            <w:pPr>
              <w:spacing w:line="276" w:lineRule="auto"/>
              <w:rPr>
                <w:b/>
                <w:color w:val="70AD47" w:themeColor="accent6"/>
              </w:rPr>
            </w:pPr>
          </w:p>
        </w:tc>
      </w:tr>
    </w:tbl>
    <w:p w:rsidR="00FC6CFD" w:rsidRDefault="00FC6CFD" w:rsidP="006E1F44">
      <w:pPr>
        <w:spacing w:line="276" w:lineRule="auto"/>
      </w:pPr>
    </w:p>
    <w:p w:rsidR="006E1F44" w:rsidRPr="006E1F44" w:rsidRDefault="006E1F44" w:rsidP="006E1F44">
      <w:pPr>
        <w:pStyle w:val="Listenabsatz"/>
        <w:numPr>
          <w:ilvl w:val="0"/>
          <w:numId w:val="4"/>
        </w:numPr>
        <w:spacing w:line="360" w:lineRule="auto"/>
        <w:ind w:right="567"/>
        <w:rPr>
          <w:rFonts w:ascii="Calibri" w:hAnsi="Calibri" w:cs="Calibri"/>
          <w:b/>
          <w:color w:val="70AD47" w:themeColor="accent6"/>
        </w:rPr>
      </w:pPr>
      <w:r w:rsidRPr="006E1F44">
        <w:rPr>
          <w:rFonts w:ascii="Calibri" w:hAnsi="Calibri" w:cs="Calibri"/>
          <w:b/>
          <w:bCs/>
          <w:color w:val="70AD47" w:themeColor="accent6"/>
        </w:rPr>
        <w:t xml:space="preserve">Anerkennung von Inklusion als Querschnittsthema </w:t>
      </w:r>
    </w:p>
    <w:p w:rsidR="006E1F44" w:rsidRPr="00C2031D" w:rsidRDefault="006E1F44" w:rsidP="006E1F44">
      <w:pPr>
        <w:spacing w:line="360" w:lineRule="auto"/>
        <w:ind w:right="567"/>
        <w:rPr>
          <w:rFonts w:ascii="Calibri" w:hAnsi="Calibri" w:cs="Calibri"/>
          <w:color w:val="70AD47" w:themeColor="accent6"/>
        </w:rPr>
      </w:pPr>
      <w:r w:rsidRPr="77FBAD48">
        <w:rPr>
          <w:rFonts w:ascii="Calibri" w:hAnsi="Calibri" w:cs="Calibri"/>
          <w:color w:val="70AD47" w:themeColor="accent6"/>
        </w:rPr>
        <w:t>Inklusion und politische Partizipation von Menschen mit Behinderung betrifft nicht nur wenige</w:t>
      </w:r>
      <w:r>
        <w:rPr>
          <w:rFonts w:ascii="Calibri" w:hAnsi="Calibri" w:cs="Calibri"/>
          <w:color w:val="70AD47" w:themeColor="accent6"/>
        </w:rPr>
        <w:t xml:space="preserve"> </w:t>
      </w:r>
      <w:r w:rsidRPr="77FBAD48">
        <w:rPr>
          <w:rFonts w:ascii="Calibri" w:hAnsi="Calibri" w:cs="Calibri"/>
          <w:color w:val="70AD47" w:themeColor="accent6"/>
        </w:rPr>
        <w:t>spezielle Fachbereiche wie Bau, Soziales oder Schule. Oder anders ausgedrückt: Behinderungen entstehen nicht nur in diesen Kontexten. Ein unlesbarer Abfallkalender, ein mangelhaftes Notruf-System, fehlende oder zu barrierebehaftete Kulturangebote – es gibt im Grunde keinen Bereich, in dem das Thema Inklusion keine Rolle spielt</w:t>
      </w:r>
      <w:r>
        <w:rPr>
          <w:rFonts w:ascii="Calibri" w:hAnsi="Calibri" w:cs="Calibri"/>
          <w:color w:val="70AD47" w:themeColor="accent6"/>
        </w:rPr>
        <w:t>.</w:t>
      </w:r>
    </w:p>
    <w:tbl>
      <w:tblPr>
        <w:tblStyle w:val="Tabellenraster"/>
        <w:tblW w:w="15187" w:type="dxa"/>
        <w:tblLook w:val="04A0" w:firstRow="1" w:lastRow="0" w:firstColumn="1" w:lastColumn="0" w:noHBand="0" w:noVBand="1"/>
      </w:tblPr>
      <w:tblGrid>
        <w:gridCol w:w="1989"/>
        <w:gridCol w:w="6271"/>
        <w:gridCol w:w="4801"/>
        <w:gridCol w:w="1081"/>
        <w:gridCol w:w="1045"/>
      </w:tblGrid>
      <w:tr w:rsidR="006E1F44" w:rsidRPr="00341F1F" w:rsidTr="00546ED8">
        <w:trPr>
          <w:trHeight w:val="1231"/>
        </w:trPr>
        <w:tc>
          <w:tcPr>
            <w:tcW w:w="1989" w:type="dxa"/>
          </w:tcPr>
          <w:p w:rsidR="006E1F44" w:rsidRPr="00341F1F" w:rsidRDefault="006E1F44" w:rsidP="00546ED8">
            <w:pPr>
              <w:rPr>
                <w:b/>
                <w:color w:val="70AD47" w:themeColor="accent6"/>
              </w:rPr>
            </w:pPr>
            <w:r w:rsidRPr="00341F1F">
              <w:rPr>
                <w:b/>
                <w:color w:val="70AD47" w:themeColor="accent6"/>
              </w:rPr>
              <w:t>Aspekt</w:t>
            </w:r>
          </w:p>
          <w:p w:rsidR="006E1F44" w:rsidRPr="00341F1F" w:rsidRDefault="006E1F44" w:rsidP="00546ED8">
            <w:pPr>
              <w:rPr>
                <w:b/>
                <w:color w:val="70AD47" w:themeColor="accent6"/>
              </w:rPr>
            </w:pPr>
          </w:p>
        </w:tc>
        <w:tc>
          <w:tcPr>
            <w:tcW w:w="6271" w:type="dxa"/>
          </w:tcPr>
          <w:p w:rsidR="006E1F44" w:rsidRPr="00341F1F" w:rsidRDefault="006E1F44" w:rsidP="00546ED8">
            <w:pPr>
              <w:spacing w:line="276" w:lineRule="auto"/>
              <w:rPr>
                <w:b/>
                <w:color w:val="70AD47" w:themeColor="accent6"/>
              </w:rPr>
            </w:pPr>
            <w:r w:rsidRPr="00341F1F">
              <w:rPr>
                <w:b/>
                <w:color w:val="70AD47" w:themeColor="accent6"/>
              </w:rPr>
              <w:t>Leitfragen</w:t>
            </w:r>
          </w:p>
        </w:tc>
        <w:tc>
          <w:tcPr>
            <w:tcW w:w="4801" w:type="dxa"/>
          </w:tcPr>
          <w:p w:rsidR="006E1F44" w:rsidRPr="00341F1F" w:rsidRDefault="006E1F44" w:rsidP="00546ED8">
            <w:pPr>
              <w:rPr>
                <w:b/>
                <w:color w:val="70AD47" w:themeColor="accent6"/>
              </w:rPr>
            </w:pPr>
            <w:r w:rsidRPr="00341F1F">
              <w:rPr>
                <w:b/>
                <w:color w:val="70AD47" w:themeColor="accent6"/>
              </w:rPr>
              <w:t>Rechtlicher Bezug</w:t>
            </w:r>
          </w:p>
        </w:tc>
        <w:tc>
          <w:tcPr>
            <w:tcW w:w="1081" w:type="dxa"/>
          </w:tcPr>
          <w:p w:rsidR="006E1F44" w:rsidRPr="00341F1F" w:rsidRDefault="006E1F44" w:rsidP="00546ED8">
            <w:pPr>
              <w:rPr>
                <w:b/>
                <w:color w:val="70AD47" w:themeColor="accent6"/>
              </w:rPr>
            </w:pPr>
            <w:r w:rsidRPr="00341F1F">
              <w:rPr>
                <w:b/>
                <w:color w:val="70AD47" w:themeColor="accent6"/>
              </w:rPr>
              <w:t>Setzen wir bereits um</w:t>
            </w:r>
          </w:p>
        </w:tc>
        <w:tc>
          <w:tcPr>
            <w:tcW w:w="1045" w:type="dxa"/>
          </w:tcPr>
          <w:p w:rsidR="006E1F44" w:rsidRPr="00341F1F" w:rsidRDefault="006E1F44" w:rsidP="00546ED8">
            <w:pPr>
              <w:rPr>
                <w:b/>
                <w:color w:val="70AD47" w:themeColor="accent6"/>
              </w:rPr>
            </w:pPr>
            <w:r w:rsidRPr="00341F1F">
              <w:rPr>
                <w:b/>
                <w:color w:val="70AD47" w:themeColor="accent6"/>
              </w:rPr>
              <w:t>Setzen wir noch nicht um</w:t>
            </w:r>
          </w:p>
        </w:tc>
      </w:tr>
      <w:tr w:rsidR="006E1F44" w:rsidRPr="00341F1F" w:rsidTr="00546ED8">
        <w:trPr>
          <w:trHeight w:val="1231"/>
        </w:trPr>
        <w:tc>
          <w:tcPr>
            <w:tcW w:w="1989" w:type="dxa"/>
          </w:tcPr>
          <w:p w:rsidR="006E1F44" w:rsidRPr="00341F1F" w:rsidRDefault="006E1F44" w:rsidP="00546ED8">
            <w:pPr>
              <w:rPr>
                <w:b/>
                <w:color w:val="70AD47" w:themeColor="accent6"/>
              </w:rPr>
            </w:pPr>
            <w:r w:rsidRPr="006E1F44">
              <w:rPr>
                <w:b/>
              </w:rPr>
              <w:t>Inklusion als Querschnittthema</w:t>
            </w:r>
          </w:p>
        </w:tc>
        <w:tc>
          <w:tcPr>
            <w:tcW w:w="6271" w:type="dxa"/>
          </w:tcPr>
          <w:p w:rsidR="004D5896" w:rsidRPr="004D5896" w:rsidRDefault="004D5896" w:rsidP="002A26C3">
            <w:pPr>
              <w:pStyle w:val="Listenabsatz"/>
              <w:numPr>
                <w:ilvl w:val="0"/>
                <w:numId w:val="7"/>
              </w:numPr>
              <w:spacing w:line="360" w:lineRule="auto"/>
              <w:ind w:right="567"/>
              <w:rPr>
                <w:rFonts w:ascii="Calibri" w:hAnsi="Calibri" w:cs="Calibri"/>
              </w:rPr>
            </w:pPr>
            <w:r w:rsidRPr="004D5896">
              <w:rPr>
                <w:rFonts w:ascii="Calibri" w:hAnsi="Calibri" w:cs="Calibri"/>
              </w:rPr>
              <w:t>Wird die Interessenvertretung in ihrem Themen- und Aufgabenspektrum bei allen Themen und Fragen der kommunalen Entwicklungsprozesse von Anfang an gleichberechtigt beteiligt?</w:t>
            </w:r>
          </w:p>
          <w:p w:rsidR="004D5896" w:rsidRPr="004D5896" w:rsidRDefault="004D5896" w:rsidP="002A26C3">
            <w:pPr>
              <w:pStyle w:val="Listenabsatz"/>
              <w:numPr>
                <w:ilvl w:val="0"/>
                <w:numId w:val="7"/>
              </w:numPr>
              <w:spacing w:line="360" w:lineRule="auto"/>
              <w:ind w:right="567"/>
              <w:rPr>
                <w:rFonts w:ascii="Calibri" w:hAnsi="Calibri" w:cs="Calibri"/>
              </w:rPr>
            </w:pPr>
            <w:r w:rsidRPr="004D5896">
              <w:rPr>
                <w:rFonts w:ascii="Calibri" w:hAnsi="Calibri" w:cs="Calibri"/>
              </w:rPr>
              <w:lastRenderedPageBreak/>
              <w:t>Kann die Interessenvertretung von sich aus aktiv werden bzw. selbst entscheiden, ob eine Maßnahme ihre Belange betrifft oder nicht?</w:t>
            </w:r>
          </w:p>
          <w:p w:rsidR="004D5896" w:rsidRPr="004D5896" w:rsidRDefault="004D5896" w:rsidP="002A26C3">
            <w:pPr>
              <w:pStyle w:val="Listenabsatz"/>
              <w:numPr>
                <w:ilvl w:val="0"/>
                <w:numId w:val="7"/>
              </w:numPr>
              <w:spacing w:line="360" w:lineRule="auto"/>
              <w:ind w:right="567"/>
              <w:rPr>
                <w:rFonts w:ascii="Calibri" w:hAnsi="Calibri" w:cs="Calibri"/>
              </w:rPr>
            </w:pPr>
            <w:r w:rsidRPr="004D5896">
              <w:rPr>
                <w:rFonts w:ascii="Calibri" w:hAnsi="Calibri" w:cs="Calibri"/>
              </w:rPr>
              <w:t xml:space="preserve">Werden alle Vorlagen in einer Kommune auf die inklusiven Grundsätze der UN-BRK hin geprüft, ähnlich wie dies bereits bei den Themen „Nachhaltigkeit“, „Gendergerechtigkeit“ oder „Wirtschaftlichkeit“ in vielen Kommunen praktiziert wird? </w:t>
            </w:r>
          </w:p>
          <w:p w:rsidR="004D5896" w:rsidRDefault="004D5896" w:rsidP="002A26C3">
            <w:pPr>
              <w:pStyle w:val="Listenabsatz"/>
              <w:numPr>
                <w:ilvl w:val="0"/>
                <w:numId w:val="7"/>
              </w:numPr>
              <w:spacing w:line="360" w:lineRule="auto"/>
              <w:ind w:right="567"/>
              <w:rPr>
                <w:rFonts w:ascii="Calibri" w:hAnsi="Calibri" w:cs="Calibri"/>
              </w:rPr>
            </w:pPr>
            <w:r w:rsidRPr="004D5896">
              <w:rPr>
                <w:rFonts w:ascii="Calibri" w:hAnsi="Calibri" w:cs="Calibri"/>
              </w:rPr>
              <w:t>Zielt die politische Partizipation auf die Entwicklung von inklusiven Strukturen in allen Lebensbereichen ab? Ist also die Beteiligung sowohl auf die Nachbesserung des Bestehenden als auch an der inklusiven Entwicklung von Neuem ausgerichtet?</w:t>
            </w:r>
          </w:p>
          <w:p w:rsidR="002A26C3" w:rsidRDefault="002A26C3" w:rsidP="002A26C3">
            <w:pPr>
              <w:pStyle w:val="Listenabsatz"/>
              <w:numPr>
                <w:ilvl w:val="0"/>
                <w:numId w:val="7"/>
              </w:numPr>
              <w:spacing w:line="360" w:lineRule="auto"/>
              <w:ind w:right="567"/>
              <w:rPr>
                <w:rFonts w:ascii="Calibri" w:hAnsi="Calibri" w:cs="Calibri"/>
              </w:rPr>
            </w:pPr>
            <w:r w:rsidRPr="002A26C3">
              <w:rPr>
                <w:rFonts w:ascii="Calibri" w:hAnsi="Calibri" w:cs="Calibri"/>
              </w:rPr>
              <w:t>Gibt es eine*n hauptamtliche*n Behindertenbeauftragte*n, die*der für Kontinuität sorgt und mögliche Ausfälle oder Ausstiege von einzelnen Ehrenamtlichen in der Interessenvertretung kompensiert? Nimmt diese*r in der Verwaltung eine Schnittstellenposition ein und ist beispielsweise an das Bürgermeisteramt angesiedelt?</w:t>
            </w:r>
          </w:p>
          <w:p w:rsidR="002A26C3" w:rsidRPr="00796F15" w:rsidRDefault="002A26C3" w:rsidP="002A26C3">
            <w:pPr>
              <w:pStyle w:val="Listenabsatz"/>
              <w:numPr>
                <w:ilvl w:val="0"/>
                <w:numId w:val="7"/>
              </w:numPr>
              <w:spacing w:line="360" w:lineRule="auto"/>
              <w:ind w:right="567"/>
              <w:rPr>
                <w:rFonts w:ascii="Calibri" w:hAnsi="Calibri" w:cs="Calibri"/>
              </w:rPr>
            </w:pPr>
            <w:r w:rsidRPr="00796F15">
              <w:rPr>
                <w:rFonts w:ascii="Calibri" w:hAnsi="Calibri" w:cs="Calibri"/>
              </w:rPr>
              <w:lastRenderedPageBreak/>
              <w:t>Gibt es ein verbindliches Rollenprofil für die*den Behindertenbeauftragte*n, das auch in Form einer Satzung festgehalten wurde und das es der Person erleichtert, entsprechende Aufgaben wahrzunehmen und im Umkehrschluss auch als Vertreter*in wahrgenommen zu werden?</w:t>
            </w:r>
          </w:p>
          <w:p w:rsidR="002A26C3" w:rsidRPr="00796F15" w:rsidRDefault="002A26C3" w:rsidP="002A26C3">
            <w:pPr>
              <w:pStyle w:val="Listenabsatz"/>
              <w:numPr>
                <w:ilvl w:val="0"/>
                <w:numId w:val="7"/>
              </w:numPr>
              <w:spacing w:line="360" w:lineRule="auto"/>
              <w:ind w:right="567"/>
              <w:rPr>
                <w:rFonts w:ascii="Calibri" w:hAnsi="Calibri" w:cs="Calibri"/>
              </w:rPr>
            </w:pPr>
            <w:r w:rsidRPr="00796F15">
              <w:rPr>
                <w:rFonts w:ascii="Calibri" w:hAnsi="Calibri" w:cs="Calibri"/>
              </w:rPr>
              <w:t xml:space="preserve">Sieht sich die*der hauptamtliche Behindertenbeauftragte als Sprachrohr und Vertretung und behält die diversen Belange der Menschen mit Behinderungen im Blick? </w:t>
            </w:r>
          </w:p>
          <w:p w:rsidR="002A26C3" w:rsidRPr="00796F15" w:rsidRDefault="002A26C3" w:rsidP="002A26C3">
            <w:pPr>
              <w:pStyle w:val="Listenabsatz"/>
              <w:numPr>
                <w:ilvl w:val="0"/>
                <w:numId w:val="7"/>
              </w:numPr>
              <w:spacing w:line="360" w:lineRule="auto"/>
              <w:ind w:right="567"/>
              <w:rPr>
                <w:rFonts w:ascii="Calibri" w:hAnsi="Calibri" w:cs="Calibri"/>
              </w:rPr>
            </w:pPr>
            <w:r w:rsidRPr="00796F15">
              <w:rPr>
                <w:rFonts w:ascii="Calibri" w:hAnsi="Calibri" w:cs="Calibri"/>
              </w:rPr>
              <w:t>Betrifft kleine Gemeinden, in denen sich möglicherweise nicht genügend oder keine Menschen mit Behinderungen politisch engagieren möchten: Gibt es eine feste Ansprechperson, die den Kontakt zur Verwalt</w:t>
            </w:r>
            <w:r w:rsidR="00796F15" w:rsidRPr="00796F15">
              <w:rPr>
                <w:rFonts w:ascii="Calibri" w:hAnsi="Calibri" w:cs="Calibri"/>
              </w:rPr>
              <w:t>ung/Politik hält und vermittelt?</w:t>
            </w:r>
          </w:p>
          <w:p w:rsidR="002A26C3" w:rsidRPr="002A26C3" w:rsidRDefault="002A26C3" w:rsidP="00796F15">
            <w:pPr>
              <w:pStyle w:val="Listenabsatz"/>
              <w:spacing w:line="360" w:lineRule="auto"/>
              <w:ind w:right="567"/>
              <w:rPr>
                <w:rFonts w:ascii="Calibri" w:hAnsi="Calibri" w:cs="Calibri"/>
              </w:rPr>
            </w:pPr>
          </w:p>
          <w:p w:rsidR="002A26C3" w:rsidRPr="004D5896" w:rsidRDefault="002A26C3" w:rsidP="002A26C3">
            <w:pPr>
              <w:pStyle w:val="Listenabsatz"/>
              <w:spacing w:line="360" w:lineRule="auto"/>
              <w:ind w:right="567"/>
              <w:rPr>
                <w:rFonts w:ascii="Calibri" w:hAnsi="Calibri" w:cs="Calibri"/>
              </w:rPr>
            </w:pPr>
          </w:p>
          <w:p w:rsidR="006E1F44" w:rsidRPr="004D5896" w:rsidRDefault="006E1F44" w:rsidP="00546ED8">
            <w:pPr>
              <w:spacing w:line="276" w:lineRule="auto"/>
              <w:rPr>
                <w:b/>
              </w:rPr>
            </w:pPr>
          </w:p>
        </w:tc>
        <w:tc>
          <w:tcPr>
            <w:tcW w:w="4801" w:type="dxa"/>
          </w:tcPr>
          <w:p w:rsidR="006E1F44" w:rsidRPr="00341F1F" w:rsidRDefault="006E1F44" w:rsidP="00546ED8">
            <w:pPr>
              <w:rPr>
                <w:b/>
                <w:color w:val="70AD47" w:themeColor="accent6"/>
              </w:rPr>
            </w:pPr>
          </w:p>
        </w:tc>
        <w:tc>
          <w:tcPr>
            <w:tcW w:w="1081" w:type="dxa"/>
          </w:tcPr>
          <w:p w:rsidR="006E1F44" w:rsidRPr="00341F1F" w:rsidRDefault="006E1F44" w:rsidP="00546ED8">
            <w:pPr>
              <w:rPr>
                <w:b/>
                <w:color w:val="70AD47" w:themeColor="accent6"/>
              </w:rPr>
            </w:pPr>
          </w:p>
        </w:tc>
        <w:tc>
          <w:tcPr>
            <w:tcW w:w="1045" w:type="dxa"/>
          </w:tcPr>
          <w:p w:rsidR="006E1F44" w:rsidRPr="00341F1F" w:rsidRDefault="006E1F44" w:rsidP="00546ED8">
            <w:pPr>
              <w:rPr>
                <w:b/>
                <w:color w:val="70AD47" w:themeColor="accent6"/>
              </w:rPr>
            </w:pPr>
          </w:p>
        </w:tc>
      </w:tr>
    </w:tbl>
    <w:p w:rsidR="004D5896" w:rsidRDefault="004D5896" w:rsidP="004D5896">
      <w:pPr>
        <w:spacing w:line="360" w:lineRule="auto"/>
        <w:ind w:right="567"/>
        <w:rPr>
          <w:rFonts w:ascii="Calibri" w:hAnsi="Calibri" w:cs="Calibri"/>
          <w:b/>
          <w:bCs/>
          <w:color w:val="2F5496" w:themeColor="accent5" w:themeShade="BF"/>
          <w:sz w:val="40"/>
          <w:szCs w:val="40"/>
        </w:rPr>
      </w:pPr>
      <w:r>
        <w:rPr>
          <w:rFonts w:ascii="Calibri" w:hAnsi="Calibri" w:cs="Calibri"/>
          <w:b/>
          <w:bCs/>
          <w:color w:val="2F5496" w:themeColor="accent5" w:themeShade="BF"/>
          <w:sz w:val="60"/>
          <w:szCs w:val="60"/>
        </w:rPr>
        <w:lastRenderedPageBreak/>
        <w:br/>
      </w:r>
      <w:r w:rsidRPr="004D5896">
        <w:rPr>
          <w:rFonts w:ascii="Calibri" w:hAnsi="Calibri" w:cs="Calibri"/>
          <w:b/>
          <w:bCs/>
          <w:color w:val="2F5496" w:themeColor="accent5" w:themeShade="BF"/>
          <w:sz w:val="40"/>
          <w:szCs w:val="40"/>
        </w:rPr>
        <w:t xml:space="preserve">Leitprinzip: </w:t>
      </w:r>
      <w:r w:rsidRPr="004D5896">
        <w:rPr>
          <w:rFonts w:ascii="Calibri" w:hAnsi="Calibri" w:cs="Calibri"/>
          <w:b/>
          <w:bCs/>
          <w:color w:val="2F5496" w:themeColor="accent5" w:themeShade="BF"/>
          <w:sz w:val="40"/>
          <w:szCs w:val="40"/>
        </w:rPr>
        <w:br/>
        <w:t>„Nicht ohne uns, über uns.“</w:t>
      </w:r>
    </w:p>
    <w:p w:rsidR="00E202C4" w:rsidRPr="00E202C4" w:rsidRDefault="00E202C4" w:rsidP="00E202C4">
      <w:pPr>
        <w:pStyle w:val="Listenabsatz"/>
        <w:numPr>
          <w:ilvl w:val="0"/>
          <w:numId w:val="4"/>
        </w:numPr>
        <w:spacing w:line="360" w:lineRule="auto"/>
        <w:ind w:right="567"/>
        <w:rPr>
          <w:rFonts w:ascii="Calibri" w:hAnsi="Calibri" w:cs="Calibri"/>
          <w:b/>
          <w:bCs/>
          <w:color w:val="2F5496" w:themeColor="accent5" w:themeShade="BF"/>
        </w:rPr>
      </w:pPr>
      <w:r w:rsidRPr="00E202C4">
        <w:rPr>
          <w:rFonts w:ascii="Calibri" w:hAnsi="Calibri" w:cs="Calibri"/>
          <w:b/>
          <w:bCs/>
          <w:color w:val="2F5496" w:themeColor="accent5" w:themeShade="BF"/>
        </w:rPr>
        <w:t>Selbstvertretung</w:t>
      </w:r>
    </w:p>
    <w:p w:rsidR="00E202C4" w:rsidRPr="00C2031D" w:rsidRDefault="00E202C4" w:rsidP="00E202C4">
      <w:pPr>
        <w:spacing w:line="360" w:lineRule="auto"/>
        <w:ind w:right="567"/>
        <w:rPr>
          <w:rFonts w:ascii="Calibri" w:hAnsi="Calibri" w:cs="Calibri"/>
          <w:b/>
          <w:bCs/>
          <w:color w:val="2F5496" w:themeColor="accent5" w:themeShade="BF"/>
        </w:rPr>
      </w:pPr>
      <w:r w:rsidRPr="77FBAD48">
        <w:rPr>
          <w:rFonts w:ascii="Calibri" w:hAnsi="Calibri" w:cs="Calibri"/>
          <w:b/>
          <w:bCs/>
          <w:color w:val="2F5496" w:themeColor="accent5" w:themeShade="BF"/>
        </w:rPr>
        <w:t>Wie eingangs erwähnt: Partizipation gelingt nur, wenn Menschen bereit sind sich einzubringen. Strukturen, die dies ermöglichen, können effektiv nur gemeinsam, im Austausch über die unterschiedlichen Bedürfnisse und Perspektiven erarbeitet werden.</w:t>
      </w:r>
    </w:p>
    <w:p w:rsidR="00E202C4" w:rsidRPr="004D5896" w:rsidRDefault="00E202C4" w:rsidP="004D5896">
      <w:pPr>
        <w:spacing w:line="360" w:lineRule="auto"/>
        <w:ind w:right="567"/>
        <w:rPr>
          <w:rFonts w:ascii="Calibri" w:hAnsi="Calibri" w:cs="Calibri"/>
          <w:b/>
          <w:bCs/>
          <w:color w:val="2F5496" w:themeColor="accent5" w:themeShade="BF"/>
          <w:sz w:val="40"/>
          <w:szCs w:val="40"/>
        </w:rPr>
      </w:pPr>
    </w:p>
    <w:tbl>
      <w:tblPr>
        <w:tblStyle w:val="Tabellenraster"/>
        <w:tblW w:w="15187" w:type="dxa"/>
        <w:tblLook w:val="04A0" w:firstRow="1" w:lastRow="0" w:firstColumn="1" w:lastColumn="0" w:noHBand="0" w:noVBand="1"/>
      </w:tblPr>
      <w:tblGrid>
        <w:gridCol w:w="1989"/>
        <w:gridCol w:w="6271"/>
        <w:gridCol w:w="4801"/>
        <w:gridCol w:w="1081"/>
        <w:gridCol w:w="1045"/>
      </w:tblGrid>
      <w:tr w:rsidR="00E202C4" w:rsidRPr="00341F1F" w:rsidTr="00546ED8">
        <w:trPr>
          <w:trHeight w:val="1231"/>
        </w:trPr>
        <w:tc>
          <w:tcPr>
            <w:tcW w:w="1989" w:type="dxa"/>
          </w:tcPr>
          <w:p w:rsidR="00E202C4" w:rsidRPr="00E202C4" w:rsidRDefault="00E202C4" w:rsidP="00546ED8">
            <w:pPr>
              <w:rPr>
                <w:b/>
                <w:color w:val="2F5496" w:themeColor="accent5" w:themeShade="BF"/>
              </w:rPr>
            </w:pPr>
            <w:r w:rsidRPr="00E202C4">
              <w:rPr>
                <w:b/>
                <w:color w:val="2F5496" w:themeColor="accent5" w:themeShade="BF"/>
              </w:rPr>
              <w:t>Aspekt</w:t>
            </w:r>
          </w:p>
          <w:p w:rsidR="00E202C4" w:rsidRPr="00E202C4" w:rsidRDefault="00E202C4" w:rsidP="00546ED8">
            <w:pPr>
              <w:rPr>
                <w:b/>
                <w:color w:val="2F5496" w:themeColor="accent5" w:themeShade="BF"/>
              </w:rPr>
            </w:pPr>
          </w:p>
        </w:tc>
        <w:tc>
          <w:tcPr>
            <w:tcW w:w="6271" w:type="dxa"/>
          </w:tcPr>
          <w:p w:rsidR="00E202C4" w:rsidRPr="00E202C4" w:rsidRDefault="00E202C4" w:rsidP="00546ED8">
            <w:pPr>
              <w:spacing w:line="276" w:lineRule="auto"/>
              <w:rPr>
                <w:b/>
                <w:color w:val="2F5496" w:themeColor="accent5" w:themeShade="BF"/>
              </w:rPr>
            </w:pPr>
            <w:r w:rsidRPr="00E202C4">
              <w:rPr>
                <w:b/>
                <w:color w:val="2F5496" w:themeColor="accent5" w:themeShade="BF"/>
              </w:rPr>
              <w:t>Leitfragen</w:t>
            </w:r>
          </w:p>
        </w:tc>
        <w:tc>
          <w:tcPr>
            <w:tcW w:w="4801" w:type="dxa"/>
          </w:tcPr>
          <w:p w:rsidR="00E202C4" w:rsidRPr="00E202C4" w:rsidRDefault="00E202C4" w:rsidP="00546ED8">
            <w:pPr>
              <w:rPr>
                <w:b/>
                <w:color w:val="2F5496" w:themeColor="accent5" w:themeShade="BF"/>
              </w:rPr>
            </w:pPr>
            <w:r w:rsidRPr="00E202C4">
              <w:rPr>
                <w:b/>
                <w:color w:val="2F5496" w:themeColor="accent5" w:themeShade="BF"/>
              </w:rPr>
              <w:t>Rechtlicher Bezug</w:t>
            </w:r>
          </w:p>
        </w:tc>
        <w:tc>
          <w:tcPr>
            <w:tcW w:w="1081" w:type="dxa"/>
          </w:tcPr>
          <w:p w:rsidR="00E202C4" w:rsidRPr="00E202C4" w:rsidRDefault="00E202C4" w:rsidP="00546ED8">
            <w:pPr>
              <w:rPr>
                <w:b/>
                <w:color w:val="2F5496" w:themeColor="accent5" w:themeShade="BF"/>
              </w:rPr>
            </w:pPr>
            <w:r w:rsidRPr="00E202C4">
              <w:rPr>
                <w:b/>
                <w:color w:val="2F5496" w:themeColor="accent5" w:themeShade="BF"/>
              </w:rPr>
              <w:t>Setzen wir bereits um</w:t>
            </w:r>
          </w:p>
        </w:tc>
        <w:tc>
          <w:tcPr>
            <w:tcW w:w="1045" w:type="dxa"/>
          </w:tcPr>
          <w:p w:rsidR="00E202C4" w:rsidRPr="00E202C4" w:rsidRDefault="00E202C4" w:rsidP="00546ED8">
            <w:pPr>
              <w:rPr>
                <w:b/>
                <w:color w:val="2F5496" w:themeColor="accent5" w:themeShade="BF"/>
              </w:rPr>
            </w:pPr>
            <w:r w:rsidRPr="00E202C4">
              <w:rPr>
                <w:b/>
                <w:color w:val="2F5496" w:themeColor="accent5" w:themeShade="BF"/>
              </w:rPr>
              <w:t>Setzen wir noch nicht um</w:t>
            </w:r>
          </w:p>
        </w:tc>
      </w:tr>
      <w:tr w:rsidR="00E202C4" w:rsidRPr="00341F1F" w:rsidTr="00546ED8">
        <w:trPr>
          <w:trHeight w:val="1231"/>
        </w:trPr>
        <w:tc>
          <w:tcPr>
            <w:tcW w:w="1989" w:type="dxa"/>
          </w:tcPr>
          <w:p w:rsidR="00E202C4" w:rsidRPr="00341F1F" w:rsidRDefault="00F97810" w:rsidP="00546ED8">
            <w:pPr>
              <w:rPr>
                <w:b/>
                <w:color w:val="70AD47" w:themeColor="accent6"/>
              </w:rPr>
            </w:pPr>
            <w:r w:rsidRPr="00F97810">
              <w:rPr>
                <w:b/>
              </w:rPr>
              <w:t>Selbstvertretung</w:t>
            </w:r>
          </w:p>
        </w:tc>
        <w:tc>
          <w:tcPr>
            <w:tcW w:w="6271" w:type="dxa"/>
          </w:tcPr>
          <w:p w:rsidR="00F97810" w:rsidRPr="00F97810" w:rsidRDefault="00F97810" w:rsidP="008D275D">
            <w:pPr>
              <w:pStyle w:val="Listenabsatz"/>
              <w:numPr>
                <w:ilvl w:val="0"/>
                <w:numId w:val="8"/>
              </w:numPr>
              <w:spacing w:line="360" w:lineRule="auto"/>
              <w:ind w:right="567"/>
              <w:rPr>
                <w:rFonts w:ascii="Calibri" w:hAnsi="Calibri" w:cs="Calibri"/>
              </w:rPr>
            </w:pPr>
            <w:r w:rsidRPr="00F97810">
              <w:rPr>
                <w:rFonts w:ascii="Calibri" w:hAnsi="Calibri" w:cs="Calibri"/>
              </w:rPr>
              <w:t xml:space="preserve">Wird eine Interessenvertretung </w:t>
            </w:r>
            <w:r w:rsidRPr="00F97810">
              <w:rPr>
                <w:rFonts w:ascii="Calibri" w:hAnsi="Calibri" w:cs="Calibri"/>
                <w:u w:val="single"/>
              </w:rPr>
              <w:t>von</w:t>
            </w:r>
            <w:r w:rsidRPr="00F97810">
              <w:rPr>
                <w:rFonts w:ascii="Calibri" w:hAnsi="Calibri" w:cs="Calibri"/>
              </w:rPr>
              <w:t xml:space="preserve"> Menschen mit Behinderungen, also eine Selbstvertretung, angestrebt und gefördert?</w:t>
            </w:r>
          </w:p>
          <w:p w:rsidR="00F97810" w:rsidRDefault="00F97810" w:rsidP="008D275D">
            <w:pPr>
              <w:pStyle w:val="Listenabsatz"/>
              <w:numPr>
                <w:ilvl w:val="0"/>
                <w:numId w:val="8"/>
              </w:numPr>
              <w:spacing w:line="360" w:lineRule="auto"/>
              <w:ind w:right="567"/>
              <w:rPr>
                <w:rFonts w:ascii="Calibri" w:hAnsi="Calibri" w:cs="Calibri"/>
              </w:rPr>
            </w:pPr>
            <w:r w:rsidRPr="00F97810">
              <w:rPr>
                <w:rFonts w:ascii="Calibri" w:hAnsi="Calibri" w:cs="Calibri"/>
              </w:rPr>
              <w:t xml:space="preserve">Wird die wichtige Rolle der Selbsthilfe anerkannt und die Akteur*innen ermutigt, befähigt und auch finanziell unterstützt, um das für die politische </w:t>
            </w:r>
            <w:r w:rsidRPr="00F97810">
              <w:rPr>
                <w:rFonts w:ascii="Calibri" w:hAnsi="Calibri" w:cs="Calibri"/>
              </w:rPr>
              <w:lastRenderedPageBreak/>
              <w:t>Partizipation notwendige ehrenamtliche Engagement zu ermöglichen?</w:t>
            </w:r>
          </w:p>
          <w:p w:rsidR="008D275D" w:rsidRPr="008D275D" w:rsidRDefault="008D275D" w:rsidP="008D275D">
            <w:pPr>
              <w:pStyle w:val="Listenabsatz"/>
              <w:numPr>
                <w:ilvl w:val="0"/>
                <w:numId w:val="8"/>
              </w:numPr>
              <w:spacing w:line="360" w:lineRule="auto"/>
              <w:ind w:right="567"/>
              <w:rPr>
                <w:rFonts w:ascii="Calibri" w:hAnsi="Calibri" w:cs="Calibri"/>
              </w:rPr>
            </w:pPr>
            <w:r w:rsidRPr="008D275D">
              <w:rPr>
                <w:rFonts w:ascii="Calibri" w:hAnsi="Calibri" w:cs="Calibri"/>
              </w:rPr>
              <w:t>Werden Weiterbildungsmaßnahmen finanziell unterstützt?</w:t>
            </w:r>
          </w:p>
          <w:p w:rsidR="008D275D" w:rsidRPr="00F97810" w:rsidRDefault="008D275D" w:rsidP="008D275D">
            <w:pPr>
              <w:pStyle w:val="Listenabsatz"/>
              <w:spacing w:line="360" w:lineRule="auto"/>
              <w:ind w:right="567"/>
              <w:rPr>
                <w:rFonts w:ascii="Calibri" w:hAnsi="Calibri" w:cs="Calibri"/>
              </w:rPr>
            </w:pPr>
          </w:p>
          <w:p w:rsidR="00E202C4" w:rsidRPr="00341F1F" w:rsidRDefault="00E202C4" w:rsidP="00546ED8">
            <w:pPr>
              <w:spacing w:line="276" w:lineRule="auto"/>
              <w:rPr>
                <w:b/>
                <w:color w:val="70AD47" w:themeColor="accent6"/>
              </w:rPr>
            </w:pPr>
          </w:p>
        </w:tc>
        <w:tc>
          <w:tcPr>
            <w:tcW w:w="4801" w:type="dxa"/>
          </w:tcPr>
          <w:p w:rsidR="00E202C4" w:rsidRDefault="00F97810" w:rsidP="00F97810">
            <w:pPr>
              <w:spacing w:line="360" w:lineRule="auto"/>
            </w:pPr>
            <w:r>
              <w:lastRenderedPageBreak/>
              <w:t xml:space="preserve">„Die Vertragsstaaten garantieren Menschen mit Behinderungen die politischen Rechte sowie die Möglichkeit, diese gleichberechtigt mit anderen zu genießen, und verpflichten sich, die Bildung von Organisationen von Menschen mit Behinderungen, die sie auf internationaler, nationaler, regionaler </w:t>
            </w:r>
            <w:r>
              <w:lastRenderedPageBreak/>
              <w:t>und lokaler Ebene vertreten, und den Beitritt zu solchen Organisationen.“</w:t>
            </w:r>
          </w:p>
          <w:p w:rsidR="00F97810" w:rsidRDefault="00F97810" w:rsidP="00F97810">
            <w:pPr>
              <w:spacing w:line="360" w:lineRule="auto"/>
            </w:pPr>
            <w:r>
              <w:t>UN-BRK, Artikel 29, ii</w:t>
            </w:r>
          </w:p>
          <w:p w:rsidR="00F97810" w:rsidRPr="00341F1F" w:rsidRDefault="00F97810" w:rsidP="00F97810">
            <w:pPr>
              <w:spacing w:line="360" w:lineRule="auto"/>
              <w:rPr>
                <w:b/>
                <w:color w:val="70AD47" w:themeColor="accent6"/>
              </w:rPr>
            </w:pPr>
          </w:p>
        </w:tc>
        <w:tc>
          <w:tcPr>
            <w:tcW w:w="1081" w:type="dxa"/>
          </w:tcPr>
          <w:p w:rsidR="00E202C4" w:rsidRPr="00341F1F" w:rsidRDefault="00E202C4" w:rsidP="00546ED8">
            <w:pPr>
              <w:rPr>
                <w:b/>
                <w:color w:val="70AD47" w:themeColor="accent6"/>
              </w:rPr>
            </w:pPr>
          </w:p>
        </w:tc>
        <w:tc>
          <w:tcPr>
            <w:tcW w:w="1045" w:type="dxa"/>
          </w:tcPr>
          <w:p w:rsidR="00E202C4" w:rsidRPr="00341F1F" w:rsidRDefault="00E202C4" w:rsidP="00546ED8">
            <w:pPr>
              <w:rPr>
                <w:b/>
                <w:color w:val="70AD47" w:themeColor="accent6"/>
              </w:rPr>
            </w:pPr>
          </w:p>
        </w:tc>
      </w:tr>
    </w:tbl>
    <w:p w:rsidR="0016325F" w:rsidRDefault="0016325F" w:rsidP="0016325F">
      <w:pPr>
        <w:spacing w:line="360" w:lineRule="auto"/>
        <w:ind w:right="567"/>
      </w:pPr>
    </w:p>
    <w:p w:rsidR="0016325F" w:rsidRPr="0016325F" w:rsidRDefault="0016325F" w:rsidP="0016325F">
      <w:pPr>
        <w:pStyle w:val="Listenabsatz"/>
        <w:numPr>
          <w:ilvl w:val="0"/>
          <w:numId w:val="4"/>
        </w:numPr>
        <w:spacing w:line="360" w:lineRule="auto"/>
        <w:ind w:right="567"/>
        <w:rPr>
          <w:rFonts w:ascii="Calibri" w:hAnsi="Calibri" w:cs="Calibri"/>
          <w:b/>
          <w:color w:val="2F5496" w:themeColor="accent5" w:themeShade="BF"/>
        </w:rPr>
      </w:pPr>
      <w:r w:rsidRPr="0016325F">
        <w:rPr>
          <w:rFonts w:ascii="Calibri" w:hAnsi="Calibri" w:cs="Calibri"/>
          <w:b/>
          <w:color w:val="2F5496" w:themeColor="accent5" w:themeShade="BF"/>
        </w:rPr>
        <w:t>Repräsentativität</w:t>
      </w:r>
    </w:p>
    <w:p w:rsidR="0016325F" w:rsidRDefault="0016325F" w:rsidP="0016325F">
      <w:pPr>
        <w:spacing w:line="360" w:lineRule="auto"/>
        <w:ind w:right="567"/>
        <w:rPr>
          <w:rFonts w:ascii="Calibri" w:hAnsi="Calibri" w:cs="Calibri"/>
          <w:b/>
          <w:bCs/>
          <w:color w:val="2F5496" w:themeColor="accent5" w:themeShade="BF"/>
        </w:rPr>
      </w:pPr>
      <w:r w:rsidRPr="00C2031D">
        <w:rPr>
          <w:rFonts w:ascii="Calibri" w:hAnsi="Calibri" w:cs="Calibri"/>
          <w:b/>
          <w:bCs/>
          <w:color w:val="2F5496" w:themeColor="accent5" w:themeShade="BF"/>
        </w:rPr>
        <w:t xml:space="preserve">Eine effektive Interessenvertretung lebt vom Austausch der verschiedensten Perspektiven. Eine Person mit Sehbehinderung wird ein anderes Alltagserleben haben als eine Person mit Lernschwierigkeiten. </w:t>
      </w:r>
    </w:p>
    <w:p w:rsidR="0016325F" w:rsidRPr="00C2031D" w:rsidRDefault="0016325F" w:rsidP="0016325F">
      <w:pPr>
        <w:spacing w:line="360" w:lineRule="auto"/>
        <w:ind w:right="567"/>
        <w:rPr>
          <w:rFonts w:ascii="Calibri" w:hAnsi="Calibri" w:cs="Calibri"/>
          <w:b/>
          <w:bCs/>
          <w:color w:val="2F5496" w:themeColor="accent5" w:themeShade="BF"/>
        </w:rPr>
      </w:pPr>
    </w:p>
    <w:tbl>
      <w:tblPr>
        <w:tblStyle w:val="Tabellenraster"/>
        <w:tblW w:w="15187" w:type="dxa"/>
        <w:tblLook w:val="04A0" w:firstRow="1" w:lastRow="0" w:firstColumn="1" w:lastColumn="0" w:noHBand="0" w:noVBand="1"/>
      </w:tblPr>
      <w:tblGrid>
        <w:gridCol w:w="1989"/>
        <w:gridCol w:w="6271"/>
        <w:gridCol w:w="4801"/>
        <w:gridCol w:w="1081"/>
        <w:gridCol w:w="1045"/>
      </w:tblGrid>
      <w:tr w:rsidR="0016325F" w:rsidRPr="00E202C4" w:rsidTr="00546ED8">
        <w:trPr>
          <w:trHeight w:val="1231"/>
        </w:trPr>
        <w:tc>
          <w:tcPr>
            <w:tcW w:w="1989" w:type="dxa"/>
          </w:tcPr>
          <w:p w:rsidR="0016325F" w:rsidRPr="00E202C4" w:rsidRDefault="0016325F" w:rsidP="00546ED8">
            <w:pPr>
              <w:rPr>
                <w:b/>
                <w:color w:val="2F5496" w:themeColor="accent5" w:themeShade="BF"/>
              </w:rPr>
            </w:pPr>
            <w:r w:rsidRPr="00E202C4">
              <w:rPr>
                <w:b/>
                <w:color w:val="2F5496" w:themeColor="accent5" w:themeShade="BF"/>
              </w:rPr>
              <w:t>Aspekt</w:t>
            </w:r>
          </w:p>
          <w:p w:rsidR="0016325F" w:rsidRPr="00E202C4" w:rsidRDefault="0016325F" w:rsidP="00546ED8">
            <w:pPr>
              <w:rPr>
                <w:b/>
                <w:color w:val="2F5496" w:themeColor="accent5" w:themeShade="BF"/>
              </w:rPr>
            </w:pPr>
          </w:p>
        </w:tc>
        <w:tc>
          <w:tcPr>
            <w:tcW w:w="6271" w:type="dxa"/>
          </w:tcPr>
          <w:p w:rsidR="0016325F" w:rsidRPr="00E202C4" w:rsidRDefault="0016325F" w:rsidP="00546ED8">
            <w:pPr>
              <w:spacing w:line="276" w:lineRule="auto"/>
              <w:rPr>
                <w:b/>
                <w:color w:val="2F5496" w:themeColor="accent5" w:themeShade="BF"/>
              </w:rPr>
            </w:pPr>
            <w:r w:rsidRPr="00E202C4">
              <w:rPr>
                <w:b/>
                <w:color w:val="2F5496" w:themeColor="accent5" w:themeShade="BF"/>
              </w:rPr>
              <w:t>Leitfragen</w:t>
            </w:r>
          </w:p>
        </w:tc>
        <w:tc>
          <w:tcPr>
            <w:tcW w:w="4801" w:type="dxa"/>
          </w:tcPr>
          <w:p w:rsidR="0016325F" w:rsidRPr="00E202C4" w:rsidRDefault="0016325F" w:rsidP="00546ED8">
            <w:pPr>
              <w:rPr>
                <w:b/>
                <w:color w:val="2F5496" w:themeColor="accent5" w:themeShade="BF"/>
              </w:rPr>
            </w:pPr>
            <w:r w:rsidRPr="00E202C4">
              <w:rPr>
                <w:b/>
                <w:color w:val="2F5496" w:themeColor="accent5" w:themeShade="BF"/>
              </w:rPr>
              <w:t>Rechtlicher Bezug</w:t>
            </w:r>
          </w:p>
        </w:tc>
        <w:tc>
          <w:tcPr>
            <w:tcW w:w="1081" w:type="dxa"/>
          </w:tcPr>
          <w:p w:rsidR="0016325F" w:rsidRPr="00E202C4" w:rsidRDefault="0016325F" w:rsidP="00546ED8">
            <w:pPr>
              <w:rPr>
                <w:b/>
                <w:color w:val="2F5496" w:themeColor="accent5" w:themeShade="BF"/>
              </w:rPr>
            </w:pPr>
            <w:r w:rsidRPr="00E202C4">
              <w:rPr>
                <w:b/>
                <w:color w:val="2F5496" w:themeColor="accent5" w:themeShade="BF"/>
              </w:rPr>
              <w:t>Setzen wir bereits um</w:t>
            </w:r>
          </w:p>
        </w:tc>
        <w:tc>
          <w:tcPr>
            <w:tcW w:w="1045" w:type="dxa"/>
          </w:tcPr>
          <w:p w:rsidR="0016325F" w:rsidRPr="00E202C4" w:rsidRDefault="0016325F" w:rsidP="00546ED8">
            <w:pPr>
              <w:rPr>
                <w:b/>
                <w:color w:val="2F5496" w:themeColor="accent5" w:themeShade="BF"/>
              </w:rPr>
            </w:pPr>
            <w:r w:rsidRPr="00E202C4">
              <w:rPr>
                <w:b/>
                <w:color w:val="2F5496" w:themeColor="accent5" w:themeShade="BF"/>
              </w:rPr>
              <w:t>Setzen wir noch nicht um</w:t>
            </w:r>
          </w:p>
        </w:tc>
      </w:tr>
      <w:tr w:rsidR="0016325F" w:rsidRPr="00E202C4" w:rsidTr="00546ED8">
        <w:trPr>
          <w:trHeight w:val="1231"/>
        </w:trPr>
        <w:tc>
          <w:tcPr>
            <w:tcW w:w="1989" w:type="dxa"/>
          </w:tcPr>
          <w:p w:rsidR="0016325F" w:rsidRPr="00E202C4" w:rsidRDefault="002E5AF6" w:rsidP="00546ED8">
            <w:pPr>
              <w:rPr>
                <w:b/>
                <w:color w:val="2F5496" w:themeColor="accent5" w:themeShade="BF"/>
              </w:rPr>
            </w:pPr>
            <w:r>
              <w:rPr>
                <w:b/>
                <w:color w:val="2F5496" w:themeColor="accent5" w:themeShade="BF"/>
              </w:rPr>
              <w:t>Repräsentativität</w:t>
            </w:r>
          </w:p>
        </w:tc>
        <w:tc>
          <w:tcPr>
            <w:tcW w:w="6271" w:type="dxa"/>
          </w:tcPr>
          <w:p w:rsidR="002E5AF6" w:rsidRPr="00C2031D" w:rsidRDefault="002E5AF6" w:rsidP="002E5AF6">
            <w:pPr>
              <w:pStyle w:val="Listenabsatz"/>
              <w:numPr>
                <w:ilvl w:val="0"/>
                <w:numId w:val="9"/>
              </w:numPr>
              <w:spacing w:line="360" w:lineRule="auto"/>
              <w:ind w:right="567"/>
              <w:rPr>
                <w:rFonts w:ascii="Calibri" w:hAnsi="Calibri" w:cs="Calibri"/>
                <w:color w:val="2F5496" w:themeColor="accent5" w:themeShade="BF"/>
              </w:rPr>
            </w:pPr>
            <w:r>
              <w:rPr>
                <w:rFonts w:ascii="Calibri" w:hAnsi="Calibri" w:cs="Calibri"/>
                <w:color w:val="2F5496" w:themeColor="accent5" w:themeShade="BF"/>
              </w:rPr>
              <w:t>Sind d</w:t>
            </w:r>
            <w:r w:rsidRPr="77FBAD48">
              <w:rPr>
                <w:rFonts w:ascii="Calibri" w:hAnsi="Calibri" w:cs="Calibri"/>
                <w:color w:val="2F5496" w:themeColor="accent5" w:themeShade="BF"/>
              </w:rPr>
              <w:t>ie Ziele, Inhalte und Arbeitsmethoden der Interessenvertretung in erster Linie darauf ausgerichtet, die Kommunalpolitik im Sinne der Interessen von Menschen mit Behinderungen und chronischen Erkrankungen überparteilich möglichst eff</w:t>
            </w:r>
            <w:r>
              <w:rPr>
                <w:rFonts w:ascii="Calibri" w:hAnsi="Calibri" w:cs="Calibri"/>
                <w:color w:val="2F5496" w:themeColor="accent5" w:themeShade="BF"/>
              </w:rPr>
              <w:t>ektiv und direkt mitzugestalten?</w:t>
            </w:r>
            <w:r w:rsidRPr="77FBAD48">
              <w:rPr>
                <w:rFonts w:ascii="Calibri" w:hAnsi="Calibri" w:cs="Calibri"/>
                <w:color w:val="2F5496" w:themeColor="accent5" w:themeShade="BF"/>
              </w:rPr>
              <w:t xml:space="preserve"> </w:t>
            </w:r>
            <w:r>
              <w:rPr>
                <w:rFonts w:ascii="Calibri" w:hAnsi="Calibri" w:cs="Calibri"/>
                <w:color w:val="2F5496" w:themeColor="accent5" w:themeShade="BF"/>
              </w:rPr>
              <w:lastRenderedPageBreak/>
              <w:t xml:space="preserve">Denkt und agiert sie also </w:t>
            </w:r>
            <w:r w:rsidRPr="77FBAD48">
              <w:rPr>
                <w:rFonts w:ascii="Calibri" w:hAnsi="Calibri" w:cs="Calibri"/>
                <w:color w:val="2F5496" w:themeColor="accent5" w:themeShade="BF"/>
              </w:rPr>
              <w:t>behinderun</w:t>
            </w:r>
            <w:r>
              <w:rPr>
                <w:rFonts w:ascii="Calibri" w:hAnsi="Calibri" w:cs="Calibri"/>
                <w:color w:val="2F5496" w:themeColor="accent5" w:themeShade="BF"/>
              </w:rPr>
              <w:t>gs- und indikationsübergreifend?</w:t>
            </w:r>
          </w:p>
          <w:p w:rsidR="002E5AF6" w:rsidRPr="00C2031D" w:rsidRDefault="002E5AF6" w:rsidP="002E5AF6">
            <w:pPr>
              <w:pStyle w:val="Listenabsatz"/>
              <w:numPr>
                <w:ilvl w:val="0"/>
                <w:numId w:val="9"/>
              </w:numPr>
              <w:spacing w:line="360" w:lineRule="auto"/>
              <w:ind w:right="567"/>
              <w:rPr>
                <w:rFonts w:ascii="Calibri" w:hAnsi="Calibri" w:cs="Calibri"/>
                <w:color w:val="2F5496" w:themeColor="accent5" w:themeShade="BF"/>
              </w:rPr>
            </w:pPr>
            <w:r>
              <w:rPr>
                <w:rFonts w:ascii="Calibri" w:hAnsi="Calibri" w:cs="Calibri"/>
                <w:color w:val="2F5496" w:themeColor="accent5" w:themeShade="BF"/>
              </w:rPr>
              <w:t>Ist die</w:t>
            </w:r>
            <w:r w:rsidRPr="77FBAD48">
              <w:rPr>
                <w:rFonts w:ascii="Calibri" w:hAnsi="Calibri" w:cs="Calibri"/>
                <w:color w:val="2F5496" w:themeColor="accent5" w:themeShade="BF"/>
              </w:rPr>
              <w:t xml:space="preserve"> Interessenvertretung möglichst heterogen aufgestellt</w:t>
            </w:r>
            <w:r>
              <w:rPr>
                <w:rFonts w:ascii="Calibri" w:hAnsi="Calibri" w:cs="Calibri"/>
                <w:color w:val="2F5496" w:themeColor="accent5" w:themeShade="BF"/>
              </w:rPr>
              <w:t>?</w:t>
            </w:r>
            <w:r w:rsidRPr="77FBAD48">
              <w:rPr>
                <w:rFonts w:ascii="Calibri" w:hAnsi="Calibri" w:cs="Calibri"/>
                <w:color w:val="2F5496" w:themeColor="accent5" w:themeShade="BF"/>
              </w:rPr>
              <w:t xml:space="preserve"> </w:t>
            </w:r>
          </w:p>
          <w:p w:rsidR="002E5AF6" w:rsidRDefault="003F7718" w:rsidP="002E5AF6">
            <w:pPr>
              <w:pStyle w:val="Listenabsatz"/>
              <w:numPr>
                <w:ilvl w:val="0"/>
                <w:numId w:val="9"/>
              </w:numPr>
              <w:spacing w:line="360" w:lineRule="auto"/>
              <w:ind w:right="567"/>
              <w:rPr>
                <w:rFonts w:ascii="Calibri" w:eastAsiaTheme="minorEastAsia" w:hAnsi="Calibri" w:cs="Calibri"/>
                <w:color w:val="2F5496" w:themeColor="accent5" w:themeShade="BF"/>
              </w:rPr>
            </w:pPr>
            <w:r>
              <w:rPr>
                <w:rFonts w:ascii="Calibri" w:eastAsiaTheme="minorEastAsia" w:hAnsi="Calibri" w:cs="Calibri"/>
                <w:color w:val="2F5496" w:themeColor="accent5" w:themeShade="BF"/>
              </w:rPr>
              <w:t>Werden</w:t>
            </w:r>
            <w:r w:rsidR="002E5AF6">
              <w:rPr>
                <w:rFonts w:ascii="Calibri" w:eastAsiaTheme="minorEastAsia" w:hAnsi="Calibri" w:cs="Calibri"/>
                <w:color w:val="2F5496" w:themeColor="accent5" w:themeShade="BF"/>
              </w:rPr>
              <w:t xml:space="preserve"> Aufbau und Pflege einer divers</w:t>
            </w:r>
            <w:r w:rsidR="002E5AF6" w:rsidRPr="77FBAD48">
              <w:rPr>
                <w:rFonts w:ascii="Calibri" w:eastAsiaTheme="minorEastAsia" w:hAnsi="Calibri" w:cs="Calibri"/>
                <w:color w:val="2F5496" w:themeColor="accent5" w:themeShade="BF"/>
              </w:rPr>
              <w:t xml:space="preserve"> aufgestellten</w:t>
            </w:r>
            <w:r w:rsidR="002E5AF6">
              <w:rPr>
                <w:rFonts w:ascii="Calibri" w:eastAsiaTheme="minorEastAsia" w:hAnsi="Calibri" w:cs="Calibri"/>
                <w:color w:val="2F5496" w:themeColor="accent5" w:themeShade="BF"/>
              </w:rPr>
              <w:t xml:space="preserve"> </w:t>
            </w:r>
            <w:r w:rsidR="002E5AF6" w:rsidRPr="77FBAD48">
              <w:rPr>
                <w:rFonts w:ascii="Calibri" w:eastAsiaTheme="minorEastAsia" w:hAnsi="Calibri" w:cs="Calibri"/>
                <w:color w:val="2F5496" w:themeColor="accent5" w:themeShade="BF"/>
              </w:rPr>
              <w:t>Interessenvertretung angestrebt und unterstützt</w:t>
            </w:r>
            <w:r w:rsidR="002E5AF6">
              <w:rPr>
                <w:rFonts w:ascii="Calibri" w:eastAsiaTheme="minorEastAsia" w:hAnsi="Calibri" w:cs="Calibri"/>
                <w:color w:val="2F5496" w:themeColor="accent5" w:themeShade="BF"/>
              </w:rPr>
              <w:t xml:space="preserve">? </w:t>
            </w:r>
          </w:p>
          <w:p w:rsidR="002E5AF6" w:rsidRDefault="002E5AF6" w:rsidP="002E5AF6">
            <w:pPr>
              <w:pStyle w:val="Listenabsatz"/>
              <w:numPr>
                <w:ilvl w:val="0"/>
                <w:numId w:val="9"/>
              </w:numPr>
              <w:spacing w:line="360" w:lineRule="auto"/>
              <w:ind w:right="567"/>
              <w:rPr>
                <w:rFonts w:ascii="Calibri" w:eastAsiaTheme="minorEastAsia" w:hAnsi="Calibri" w:cs="Calibri"/>
                <w:color w:val="2F5496" w:themeColor="accent5" w:themeShade="BF"/>
              </w:rPr>
            </w:pPr>
            <w:r>
              <w:rPr>
                <w:rFonts w:ascii="Calibri" w:eastAsiaTheme="minorEastAsia" w:hAnsi="Calibri" w:cs="Calibri"/>
                <w:color w:val="2F5496" w:themeColor="accent5" w:themeShade="BF"/>
              </w:rPr>
              <w:t xml:space="preserve">Wird regelmäßig das Thema Diversität reflektiert und somit das </w:t>
            </w:r>
            <w:r w:rsidRPr="77FBAD48">
              <w:rPr>
                <w:rFonts w:ascii="Calibri" w:eastAsiaTheme="minorEastAsia" w:hAnsi="Calibri" w:cs="Calibri"/>
                <w:color w:val="2F5496" w:themeColor="accent5" w:themeShade="BF"/>
              </w:rPr>
              <w:t xml:space="preserve">Ziel </w:t>
            </w:r>
            <w:r>
              <w:rPr>
                <w:rFonts w:ascii="Calibri" w:eastAsiaTheme="minorEastAsia" w:hAnsi="Calibri" w:cs="Calibri"/>
                <w:color w:val="2F5496" w:themeColor="accent5" w:themeShade="BF"/>
              </w:rPr>
              <w:t xml:space="preserve">von </w:t>
            </w:r>
            <w:r w:rsidRPr="77FBAD48">
              <w:rPr>
                <w:rFonts w:ascii="Calibri" w:eastAsiaTheme="minorEastAsia" w:hAnsi="Calibri" w:cs="Calibri"/>
                <w:color w:val="2F5496" w:themeColor="accent5" w:themeShade="BF"/>
              </w:rPr>
              <w:t>(mehr) Vielfalt</w:t>
            </w:r>
            <w:r>
              <w:rPr>
                <w:rFonts w:ascii="Calibri" w:eastAsiaTheme="minorEastAsia" w:hAnsi="Calibri" w:cs="Calibri"/>
                <w:color w:val="2F5496" w:themeColor="accent5" w:themeShade="BF"/>
              </w:rPr>
              <w:t xml:space="preserve"> im Blick behalten?</w:t>
            </w:r>
          </w:p>
          <w:p w:rsidR="002E5AF6" w:rsidRPr="00C2031D" w:rsidRDefault="002E5AF6" w:rsidP="002E5AF6">
            <w:pPr>
              <w:pStyle w:val="Listenabsatz"/>
              <w:numPr>
                <w:ilvl w:val="0"/>
                <w:numId w:val="9"/>
              </w:numPr>
              <w:spacing w:line="360" w:lineRule="auto"/>
              <w:ind w:right="567"/>
              <w:rPr>
                <w:rFonts w:ascii="Calibri" w:eastAsiaTheme="minorEastAsia" w:hAnsi="Calibri" w:cs="Calibri"/>
                <w:color w:val="2F5496" w:themeColor="accent5" w:themeShade="BF"/>
              </w:rPr>
            </w:pPr>
            <w:r>
              <w:rPr>
                <w:rFonts w:ascii="Calibri" w:eastAsiaTheme="minorEastAsia" w:hAnsi="Calibri" w:cs="Calibri"/>
                <w:color w:val="2F5496" w:themeColor="accent5" w:themeShade="BF"/>
              </w:rPr>
              <w:t xml:space="preserve">Gibt es eine </w:t>
            </w:r>
            <w:r w:rsidRPr="77FBAD48">
              <w:rPr>
                <w:rFonts w:ascii="Calibri" w:hAnsi="Calibri" w:cs="Calibri"/>
                <w:color w:val="2F5496" w:themeColor="accent5" w:themeShade="BF"/>
              </w:rPr>
              <w:t>Moderation</w:t>
            </w:r>
            <w:r>
              <w:rPr>
                <w:rFonts w:ascii="Calibri" w:hAnsi="Calibri" w:cs="Calibri"/>
                <w:color w:val="2F5496" w:themeColor="accent5" w:themeShade="BF"/>
              </w:rPr>
              <w:t>, die bei</w:t>
            </w:r>
            <w:r w:rsidRPr="77FBAD48">
              <w:rPr>
                <w:rFonts w:ascii="Calibri" w:hAnsi="Calibri" w:cs="Calibri"/>
                <w:color w:val="2F5496" w:themeColor="accent5" w:themeShade="BF"/>
              </w:rPr>
              <w:t xml:space="preserve"> </w:t>
            </w:r>
            <w:r>
              <w:rPr>
                <w:rFonts w:ascii="Calibri" w:hAnsi="Calibri" w:cs="Calibri"/>
                <w:color w:val="2F5496" w:themeColor="accent5" w:themeShade="BF"/>
              </w:rPr>
              <w:t xml:space="preserve">Austausch und Vermittlung </w:t>
            </w:r>
            <w:r w:rsidRPr="77FBAD48">
              <w:rPr>
                <w:rFonts w:ascii="Calibri" w:hAnsi="Calibri" w:cs="Calibri"/>
                <w:color w:val="2F5496" w:themeColor="accent5" w:themeShade="BF"/>
              </w:rPr>
              <w:t>der unterschiedlichen Interessen</w:t>
            </w:r>
            <w:r>
              <w:rPr>
                <w:rFonts w:ascii="Calibri" w:hAnsi="Calibri" w:cs="Calibri"/>
                <w:color w:val="2F5496" w:themeColor="accent5" w:themeShade="BF"/>
              </w:rPr>
              <w:t xml:space="preserve"> unterstützt</w:t>
            </w:r>
            <w:r w:rsidRPr="77FBAD48">
              <w:rPr>
                <w:rFonts w:ascii="Calibri" w:hAnsi="Calibri" w:cs="Calibri"/>
                <w:color w:val="2F5496" w:themeColor="accent5" w:themeShade="BF"/>
              </w:rPr>
              <w:t xml:space="preserve"> und</w:t>
            </w:r>
            <w:r>
              <w:rPr>
                <w:rFonts w:ascii="Calibri" w:hAnsi="Calibri" w:cs="Calibri"/>
                <w:color w:val="2F5496" w:themeColor="accent5" w:themeShade="BF"/>
              </w:rPr>
              <w:t xml:space="preserve"> werden</w:t>
            </w:r>
            <w:r w:rsidRPr="77FBAD48">
              <w:rPr>
                <w:rFonts w:ascii="Calibri" w:hAnsi="Calibri" w:cs="Calibri"/>
                <w:color w:val="2F5496" w:themeColor="accent5" w:themeShade="BF"/>
              </w:rPr>
              <w:t xml:space="preserve"> Weiterbildung</w:t>
            </w:r>
            <w:r>
              <w:rPr>
                <w:rFonts w:ascii="Calibri" w:hAnsi="Calibri" w:cs="Calibri"/>
                <w:color w:val="2F5496" w:themeColor="accent5" w:themeShade="BF"/>
              </w:rPr>
              <w:t>en</w:t>
            </w:r>
            <w:r w:rsidRPr="77FBAD48">
              <w:rPr>
                <w:rFonts w:ascii="Calibri" w:hAnsi="Calibri" w:cs="Calibri"/>
                <w:color w:val="2F5496" w:themeColor="accent5" w:themeShade="BF"/>
              </w:rPr>
              <w:t xml:space="preserve"> der Interessenvertreter*innen ermöglicht</w:t>
            </w:r>
            <w:r>
              <w:rPr>
                <w:rFonts w:ascii="Calibri" w:hAnsi="Calibri" w:cs="Calibri"/>
                <w:color w:val="2F5496" w:themeColor="accent5" w:themeShade="BF"/>
              </w:rPr>
              <w:t xml:space="preserve">? </w:t>
            </w:r>
          </w:p>
          <w:p w:rsidR="002E5AF6" w:rsidRPr="00C2031D" w:rsidRDefault="002E5AF6" w:rsidP="002E5AF6">
            <w:pPr>
              <w:pStyle w:val="Listenabsatz"/>
              <w:numPr>
                <w:ilvl w:val="0"/>
                <w:numId w:val="9"/>
              </w:numPr>
              <w:spacing w:line="360" w:lineRule="auto"/>
              <w:ind w:right="567"/>
              <w:rPr>
                <w:rFonts w:ascii="Calibri" w:eastAsiaTheme="minorEastAsia" w:hAnsi="Calibri" w:cs="Calibri"/>
                <w:color w:val="2F5496" w:themeColor="accent5" w:themeShade="BF"/>
              </w:rPr>
            </w:pPr>
            <w:r>
              <w:rPr>
                <w:rFonts w:ascii="Calibri" w:hAnsi="Calibri" w:cs="Calibri"/>
                <w:color w:val="2F5496" w:themeColor="accent5" w:themeShade="BF"/>
              </w:rPr>
              <w:t xml:space="preserve">Wird eine </w:t>
            </w:r>
            <w:r w:rsidRPr="77FBAD48">
              <w:rPr>
                <w:rFonts w:ascii="Calibri" w:hAnsi="Calibri" w:cs="Calibri"/>
                <w:color w:val="2F5496" w:themeColor="accent5" w:themeShade="BF"/>
              </w:rPr>
              <w:t>direkt</w:t>
            </w:r>
            <w:r>
              <w:rPr>
                <w:rFonts w:ascii="Calibri" w:hAnsi="Calibri" w:cs="Calibri"/>
                <w:color w:val="2F5496" w:themeColor="accent5" w:themeShade="BF"/>
              </w:rPr>
              <w:t xml:space="preserve">e Partizipation von Betroffenen </w:t>
            </w:r>
            <w:r w:rsidRPr="77FBAD48">
              <w:rPr>
                <w:rFonts w:ascii="Calibri" w:hAnsi="Calibri" w:cs="Calibri"/>
                <w:color w:val="2F5496" w:themeColor="accent5" w:themeShade="BF"/>
              </w:rPr>
              <w:t>einer anwaltschaftlichen Vertretung vorgezogen</w:t>
            </w:r>
            <w:r>
              <w:rPr>
                <w:rFonts w:ascii="Calibri" w:hAnsi="Calibri" w:cs="Calibri"/>
                <w:color w:val="2F5496" w:themeColor="accent5" w:themeShade="BF"/>
              </w:rPr>
              <w:t>?</w:t>
            </w:r>
            <w:r w:rsidRPr="77FBAD48">
              <w:rPr>
                <w:rFonts w:ascii="Calibri" w:hAnsi="Calibri" w:cs="Calibri"/>
                <w:color w:val="2F5496" w:themeColor="accent5" w:themeShade="BF"/>
              </w:rPr>
              <w:t xml:space="preserve"> </w:t>
            </w:r>
          </w:p>
          <w:p w:rsidR="002E5AF6" w:rsidRPr="00C2031D" w:rsidRDefault="002E5AF6" w:rsidP="002E5AF6">
            <w:pPr>
              <w:pStyle w:val="Listenabsatz"/>
              <w:numPr>
                <w:ilvl w:val="0"/>
                <w:numId w:val="9"/>
              </w:numPr>
              <w:spacing w:line="360" w:lineRule="auto"/>
              <w:ind w:right="567"/>
              <w:rPr>
                <w:rFonts w:ascii="Calibri" w:hAnsi="Calibri" w:cs="Calibri"/>
                <w:color w:val="2F5496" w:themeColor="accent5" w:themeShade="BF"/>
              </w:rPr>
            </w:pPr>
            <w:r>
              <w:rPr>
                <w:rFonts w:ascii="Calibri" w:hAnsi="Calibri" w:cs="Calibri"/>
                <w:color w:val="2F5496" w:themeColor="accent5" w:themeShade="BF"/>
              </w:rPr>
              <w:t>Haben</w:t>
            </w:r>
            <w:r w:rsidRPr="00C2031D">
              <w:rPr>
                <w:rFonts w:ascii="Calibri" w:hAnsi="Calibri" w:cs="Calibri"/>
                <w:color w:val="2F5496" w:themeColor="accent5" w:themeShade="BF"/>
              </w:rPr>
              <w:t xml:space="preserve"> die Expert*innen in eigener Sache eine Mehrheit gegenüber den anderen Mitgliedern </w:t>
            </w:r>
            <w:r>
              <w:rPr>
                <w:rFonts w:ascii="Calibri" w:hAnsi="Calibri" w:cs="Calibri"/>
                <w:color w:val="2F5496" w:themeColor="accent5" w:themeShade="BF"/>
              </w:rPr>
              <w:t xml:space="preserve">der Interessenvertretung </w:t>
            </w:r>
            <w:r w:rsidRPr="00C2031D">
              <w:rPr>
                <w:rFonts w:ascii="Calibri" w:hAnsi="Calibri" w:cs="Calibri"/>
                <w:color w:val="2F5496" w:themeColor="accent5" w:themeShade="BF"/>
              </w:rPr>
              <w:t xml:space="preserve">bzw. </w:t>
            </w:r>
            <w:r>
              <w:rPr>
                <w:rFonts w:ascii="Calibri" w:hAnsi="Calibri" w:cs="Calibri"/>
                <w:color w:val="2F5496" w:themeColor="accent5" w:themeShade="BF"/>
              </w:rPr>
              <w:t>verfügen sie</w:t>
            </w:r>
            <w:r w:rsidRPr="00C2031D">
              <w:rPr>
                <w:rFonts w:ascii="Calibri" w:hAnsi="Calibri" w:cs="Calibri"/>
                <w:color w:val="2F5496" w:themeColor="accent5" w:themeShade="BF"/>
              </w:rPr>
              <w:t xml:space="preserve"> das alleinige Stimmrecht</w:t>
            </w:r>
            <w:r>
              <w:rPr>
                <w:rFonts w:ascii="Calibri" w:hAnsi="Calibri" w:cs="Calibri"/>
                <w:color w:val="2F5496" w:themeColor="accent5" w:themeShade="BF"/>
              </w:rPr>
              <w:t>, u</w:t>
            </w:r>
            <w:r w:rsidRPr="00C2031D">
              <w:rPr>
                <w:rFonts w:ascii="Calibri" w:hAnsi="Calibri" w:cs="Calibri"/>
                <w:color w:val="2F5496" w:themeColor="accent5" w:themeShade="BF"/>
              </w:rPr>
              <w:t xml:space="preserve">m die </w:t>
            </w:r>
            <w:r w:rsidRPr="00C2031D">
              <w:rPr>
                <w:rFonts w:ascii="Calibri" w:hAnsi="Calibri" w:cs="Calibri"/>
                <w:color w:val="2F5496" w:themeColor="accent5" w:themeShade="BF"/>
              </w:rPr>
              <w:lastRenderedPageBreak/>
              <w:t>Durchsetzungsfähigkeit der Interessen der Menschen mit Behinderungen zu gewährleisten</w:t>
            </w:r>
            <w:r>
              <w:rPr>
                <w:rFonts w:ascii="Calibri" w:hAnsi="Calibri" w:cs="Calibri"/>
                <w:color w:val="2F5496" w:themeColor="accent5" w:themeShade="BF"/>
              </w:rPr>
              <w:t>?</w:t>
            </w:r>
          </w:p>
          <w:p w:rsidR="002E5AF6" w:rsidRPr="000F2C30" w:rsidRDefault="002E5AF6" w:rsidP="002E5AF6">
            <w:pPr>
              <w:pStyle w:val="Listenabsatz"/>
              <w:numPr>
                <w:ilvl w:val="0"/>
                <w:numId w:val="9"/>
              </w:numPr>
              <w:spacing w:line="360" w:lineRule="auto"/>
              <w:ind w:right="567"/>
              <w:textAlignment w:val="baseline"/>
              <w:rPr>
                <w:rFonts w:ascii="Calibri" w:hAnsi="Calibri" w:cs="Calibri"/>
                <w:color w:val="2F5496" w:themeColor="accent5" w:themeShade="BF"/>
              </w:rPr>
            </w:pPr>
            <w:r>
              <w:rPr>
                <w:rFonts w:ascii="Calibri" w:hAnsi="Calibri" w:cs="Calibri"/>
                <w:color w:val="2F5496" w:themeColor="accent5" w:themeShade="BF"/>
              </w:rPr>
              <w:t>Wird daran gearbeitet, auch Gruppen einzubeziehen, die durchschnittlich deutlich weniger in Interessenvertretungen vertreten sind, wie etwa</w:t>
            </w:r>
            <w:r w:rsidRPr="00C2031D">
              <w:rPr>
                <w:rFonts w:ascii="Calibri" w:eastAsia="Times New Roman" w:hAnsi="Calibri" w:cs="Calibri"/>
                <w:color w:val="2F5496" w:themeColor="accent5" w:themeShade="BF"/>
                <w:lang w:eastAsia="de-DE"/>
              </w:rPr>
              <w:t xml:space="preserve"> Menschen mit Lernschwierigkeiten, mit psychischen Erkrankungen oder Menschen</w:t>
            </w:r>
            <w:r>
              <w:rPr>
                <w:rFonts w:ascii="Calibri" w:eastAsia="Times New Roman" w:hAnsi="Calibri" w:cs="Calibri"/>
                <w:color w:val="2F5496" w:themeColor="accent5" w:themeShade="BF"/>
                <w:lang w:eastAsia="de-DE"/>
              </w:rPr>
              <w:t xml:space="preserve"> mit hohem Unterstützungsbedarf?</w:t>
            </w:r>
          </w:p>
          <w:p w:rsidR="002E5AF6" w:rsidRPr="000F2C30" w:rsidRDefault="002E5AF6" w:rsidP="002E5AF6">
            <w:pPr>
              <w:pStyle w:val="Listenabsatz"/>
              <w:numPr>
                <w:ilvl w:val="0"/>
                <w:numId w:val="9"/>
              </w:numPr>
              <w:spacing w:line="360" w:lineRule="auto"/>
              <w:ind w:right="567"/>
              <w:textAlignment w:val="baseline"/>
              <w:rPr>
                <w:rFonts w:ascii="Calibri" w:hAnsi="Calibri" w:cs="Calibri"/>
                <w:color w:val="2F5496" w:themeColor="accent5" w:themeShade="BF"/>
              </w:rPr>
            </w:pPr>
            <w:r>
              <w:rPr>
                <w:rFonts w:ascii="Calibri" w:eastAsia="Times New Roman" w:hAnsi="Calibri" w:cs="Calibri"/>
                <w:color w:val="2F5496" w:themeColor="accent5" w:themeShade="BF"/>
                <w:lang w:eastAsia="de-DE"/>
              </w:rPr>
              <w:t>Gibt es</w:t>
            </w:r>
            <w:r w:rsidRPr="77FBAD48">
              <w:rPr>
                <w:rFonts w:ascii="Calibri" w:eastAsia="Times New Roman" w:hAnsi="Calibri" w:cs="Calibri"/>
                <w:color w:val="2F5496" w:themeColor="accent5" w:themeShade="BF"/>
                <w:lang w:eastAsia="de-DE"/>
              </w:rPr>
              <w:t xml:space="preserve"> alternative und kreative </w:t>
            </w:r>
            <w:r>
              <w:rPr>
                <w:rFonts w:ascii="Calibri" w:eastAsia="Times New Roman" w:hAnsi="Calibri" w:cs="Calibri"/>
                <w:color w:val="2F5496" w:themeColor="accent5" w:themeShade="BF"/>
                <w:lang w:eastAsia="de-DE"/>
              </w:rPr>
              <w:t xml:space="preserve">Beteiligungsformen, die </w:t>
            </w:r>
            <w:r w:rsidRPr="77FBAD48">
              <w:rPr>
                <w:rFonts w:ascii="Calibri" w:eastAsia="Times New Roman" w:hAnsi="Calibri" w:cs="Calibri"/>
                <w:color w:val="2F5496" w:themeColor="accent5" w:themeShade="BF"/>
                <w:lang w:eastAsia="de-DE"/>
              </w:rPr>
              <w:t xml:space="preserve">Menschen abholen, denen es aufgrund ihrer Behinderung nicht möglich ist, sich in sehr festen Strukturen wie einem Beirat zu beteiligen. Beispiele hierfür wären Runde Tische, Arbeitsgemeinschaften, themenspezifische Projekte und Ähnliches. </w:t>
            </w:r>
          </w:p>
          <w:p w:rsidR="002E5AF6" w:rsidRPr="00C2031D" w:rsidRDefault="002E5AF6" w:rsidP="002E5AF6">
            <w:pPr>
              <w:pStyle w:val="Listenabsatz"/>
              <w:numPr>
                <w:ilvl w:val="0"/>
                <w:numId w:val="9"/>
              </w:numPr>
              <w:spacing w:line="360" w:lineRule="auto"/>
              <w:ind w:right="567"/>
              <w:textAlignment w:val="baseline"/>
              <w:rPr>
                <w:rFonts w:ascii="Calibri" w:hAnsi="Calibri" w:cs="Calibri"/>
                <w:color w:val="2F5496" w:themeColor="accent5" w:themeShade="BF"/>
              </w:rPr>
            </w:pPr>
            <w:r>
              <w:rPr>
                <w:rFonts w:ascii="Calibri" w:eastAsia="Times New Roman" w:hAnsi="Calibri" w:cs="Calibri"/>
                <w:color w:val="2F5496" w:themeColor="accent5" w:themeShade="BF"/>
                <w:lang w:eastAsia="de-DE"/>
              </w:rPr>
              <w:t>Betrifft kleinere</w:t>
            </w:r>
            <w:r w:rsidRPr="00C2031D">
              <w:rPr>
                <w:rFonts w:ascii="Calibri" w:eastAsia="Times New Roman" w:hAnsi="Calibri" w:cs="Calibri"/>
                <w:color w:val="2F5496" w:themeColor="accent5" w:themeShade="BF"/>
                <w:lang w:eastAsia="de-DE"/>
              </w:rPr>
              <w:t xml:space="preserve"> Kommunen</w:t>
            </w:r>
            <w:r>
              <w:rPr>
                <w:rFonts w:ascii="Calibri" w:eastAsia="Times New Roman" w:hAnsi="Calibri" w:cs="Calibri"/>
                <w:color w:val="2F5496" w:themeColor="accent5" w:themeShade="BF"/>
                <w:lang w:eastAsia="de-DE"/>
              </w:rPr>
              <w:t>, in denen e</w:t>
            </w:r>
            <w:r w:rsidRPr="00C2031D">
              <w:rPr>
                <w:rFonts w:ascii="Calibri" w:eastAsia="Times New Roman" w:hAnsi="Calibri" w:cs="Calibri"/>
                <w:color w:val="2F5496" w:themeColor="accent5" w:themeShade="BF"/>
                <w:lang w:eastAsia="de-DE"/>
              </w:rPr>
              <w:t>s mitunter schwer</w:t>
            </w:r>
            <w:r>
              <w:rPr>
                <w:rFonts w:ascii="Calibri" w:eastAsia="Times New Roman" w:hAnsi="Calibri" w:cs="Calibri"/>
                <w:color w:val="2F5496" w:themeColor="accent5" w:themeShade="BF"/>
                <w:lang w:eastAsia="de-DE"/>
              </w:rPr>
              <w:t xml:space="preserve"> ist</w:t>
            </w:r>
            <w:r w:rsidRPr="00C2031D">
              <w:rPr>
                <w:rFonts w:ascii="Calibri" w:eastAsia="Times New Roman" w:hAnsi="Calibri" w:cs="Calibri"/>
                <w:color w:val="2F5496" w:themeColor="accent5" w:themeShade="BF"/>
                <w:lang w:eastAsia="de-DE"/>
              </w:rPr>
              <w:t>, eine hohe</w:t>
            </w:r>
            <w:r>
              <w:rPr>
                <w:rFonts w:ascii="Calibri" w:eastAsia="Times New Roman" w:hAnsi="Calibri" w:cs="Calibri"/>
                <w:color w:val="2F5496" w:themeColor="accent5" w:themeShade="BF"/>
                <w:lang w:eastAsia="de-DE"/>
              </w:rPr>
              <w:t xml:space="preserve"> Repräsentativität herzustellen:</w:t>
            </w:r>
            <w:r w:rsidRPr="00C2031D">
              <w:rPr>
                <w:rFonts w:ascii="Calibri" w:eastAsia="Times New Roman" w:hAnsi="Calibri" w:cs="Calibri"/>
                <w:color w:val="2F5496" w:themeColor="accent5" w:themeShade="BF"/>
                <w:lang w:eastAsia="de-DE"/>
              </w:rPr>
              <w:t xml:space="preserve"> </w:t>
            </w:r>
            <w:r>
              <w:rPr>
                <w:rFonts w:ascii="Calibri" w:eastAsia="Times New Roman" w:hAnsi="Calibri" w:cs="Calibri"/>
                <w:color w:val="2F5496" w:themeColor="accent5" w:themeShade="BF"/>
                <w:lang w:eastAsia="de-DE"/>
              </w:rPr>
              <w:t xml:space="preserve">Werden </w:t>
            </w:r>
            <w:r w:rsidRPr="00C2031D">
              <w:rPr>
                <w:rFonts w:ascii="Calibri" w:eastAsia="Times New Roman" w:hAnsi="Calibri" w:cs="Calibri"/>
                <w:color w:val="2F5496" w:themeColor="accent5" w:themeShade="BF"/>
                <w:lang w:eastAsia="de-DE"/>
              </w:rPr>
              <w:t>die Belange derer mitgedacht, die nicht selbst in der Interessenvertretung präsent sind</w:t>
            </w:r>
            <w:r>
              <w:rPr>
                <w:rFonts w:ascii="Calibri" w:eastAsia="Times New Roman" w:hAnsi="Calibri" w:cs="Calibri"/>
                <w:color w:val="2F5496" w:themeColor="accent5" w:themeShade="BF"/>
                <w:lang w:eastAsia="de-DE"/>
              </w:rPr>
              <w:t>?</w:t>
            </w:r>
            <w:r w:rsidRPr="00C2031D">
              <w:rPr>
                <w:rFonts w:ascii="Calibri" w:eastAsia="Times New Roman" w:hAnsi="Calibri" w:cs="Calibri"/>
                <w:color w:val="2F5496" w:themeColor="accent5" w:themeShade="BF"/>
                <w:lang w:eastAsia="de-DE"/>
              </w:rPr>
              <w:t xml:space="preserve"> </w:t>
            </w:r>
          </w:p>
          <w:p w:rsidR="0016325F" w:rsidRPr="00E202C4" w:rsidRDefault="0016325F" w:rsidP="00546ED8">
            <w:pPr>
              <w:spacing w:line="276" w:lineRule="auto"/>
              <w:rPr>
                <w:b/>
                <w:color w:val="2F5496" w:themeColor="accent5" w:themeShade="BF"/>
              </w:rPr>
            </w:pPr>
          </w:p>
        </w:tc>
        <w:tc>
          <w:tcPr>
            <w:tcW w:w="4801" w:type="dxa"/>
          </w:tcPr>
          <w:p w:rsidR="0016325F" w:rsidRDefault="00FF4723" w:rsidP="00546ED8">
            <w:r>
              <w:lastRenderedPageBreak/>
              <w:t xml:space="preserve">„Die Träger öffentlicher Belange wirken aktiv auf ein Umfeld hin, in dem Menschen mit Behinderungen gleichberechtigt mit anderen wirksam und umfassend an der Gestaltung der inklusiven Lebensverhältnisse mitwirken können. Dabei sollen Menschen mit Behinderungen darin unterstützt und ermutigt werden, ihre Vereinigungsfreiheit wahrzunehmen, ihre eigenen Kompetenzen zu stärken, in ihren eigenen Angelegenheiten selbstständig und selbstbestimmt </w:t>
            </w:r>
            <w:r>
              <w:lastRenderedPageBreak/>
              <w:t>tätig zu werden, sowie ihre Interessen zu vertreten. Wesentlich hierfür sind insbesondere Organisationen von Menschen mit Behinderungen, die sie auf Landesebene und kommunaler Ebene vertreten, sowie geeignete unabhängige Beratungs- und Unterstützungsstrukturen.“</w:t>
            </w:r>
          </w:p>
          <w:p w:rsidR="00FF4723" w:rsidRDefault="00FF4723" w:rsidP="00546ED8"/>
          <w:p w:rsidR="00FF4723" w:rsidRPr="00FF4723" w:rsidRDefault="00FF4723" w:rsidP="00546ED8">
            <w:pPr>
              <w:rPr>
                <w:color w:val="2F5496" w:themeColor="accent5" w:themeShade="BF"/>
              </w:rPr>
            </w:pPr>
            <w:r w:rsidRPr="00FF4723">
              <w:t xml:space="preserve">Inklusionsgrundsätzegesetz NRW, </w:t>
            </w:r>
            <w:r w:rsidRPr="00FF4723">
              <w:rPr>
                <w:rFonts w:ascii="Calibri" w:eastAsia="Times New Roman" w:hAnsi="Calibri" w:cs="Calibri"/>
                <w:lang w:eastAsia="de-DE"/>
              </w:rPr>
              <w:t>§ 9 Abs. 3</w:t>
            </w:r>
          </w:p>
        </w:tc>
        <w:tc>
          <w:tcPr>
            <w:tcW w:w="1081" w:type="dxa"/>
          </w:tcPr>
          <w:p w:rsidR="0016325F" w:rsidRPr="00E202C4" w:rsidRDefault="0016325F" w:rsidP="00546ED8">
            <w:pPr>
              <w:rPr>
                <w:b/>
                <w:color w:val="2F5496" w:themeColor="accent5" w:themeShade="BF"/>
              </w:rPr>
            </w:pPr>
          </w:p>
        </w:tc>
        <w:tc>
          <w:tcPr>
            <w:tcW w:w="1045" w:type="dxa"/>
          </w:tcPr>
          <w:p w:rsidR="0016325F" w:rsidRPr="00E202C4" w:rsidRDefault="0016325F" w:rsidP="00546ED8">
            <w:pPr>
              <w:rPr>
                <w:b/>
                <w:color w:val="2F5496" w:themeColor="accent5" w:themeShade="BF"/>
              </w:rPr>
            </w:pPr>
          </w:p>
        </w:tc>
      </w:tr>
    </w:tbl>
    <w:p w:rsidR="00624668" w:rsidRPr="00624668" w:rsidRDefault="00624668" w:rsidP="00624668">
      <w:pPr>
        <w:spacing w:line="360" w:lineRule="auto"/>
        <w:ind w:right="567"/>
        <w:rPr>
          <w:rFonts w:ascii="Calibri" w:hAnsi="Calibri" w:cs="Calibri"/>
          <w:b/>
          <w:color w:val="C45911" w:themeColor="accent2" w:themeShade="BF"/>
          <w:sz w:val="40"/>
          <w:szCs w:val="40"/>
        </w:rPr>
      </w:pPr>
      <w:r w:rsidRPr="00624668">
        <w:rPr>
          <w:rFonts w:ascii="Calibri" w:hAnsi="Calibri" w:cs="Calibri"/>
          <w:b/>
          <w:color w:val="C45911" w:themeColor="accent2" w:themeShade="BF"/>
          <w:sz w:val="40"/>
          <w:szCs w:val="40"/>
        </w:rPr>
        <w:lastRenderedPageBreak/>
        <w:t>ZUGÄNGLICHKEIT</w:t>
      </w:r>
    </w:p>
    <w:p w:rsidR="00624668" w:rsidRPr="00C2031D" w:rsidRDefault="00624668" w:rsidP="00624668">
      <w:pPr>
        <w:pStyle w:val="Listenabsatz"/>
        <w:numPr>
          <w:ilvl w:val="0"/>
          <w:numId w:val="4"/>
        </w:numPr>
        <w:spacing w:line="360" w:lineRule="auto"/>
        <w:ind w:right="567"/>
        <w:rPr>
          <w:rFonts w:ascii="Calibri" w:hAnsi="Calibri" w:cs="Calibri"/>
          <w:b/>
          <w:color w:val="C45911" w:themeColor="accent2" w:themeShade="BF"/>
        </w:rPr>
      </w:pPr>
      <w:r w:rsidRPr="00C2031D">
        <w:rPr>
          <w:rFonts w:ascii="Calibri" w:hAnsi="Calibri" w:cs="Calibri"/>
          <w:b/>
          <w:color w:val="C45911" w:themeColor="accent2" w:themeShade="BF"/>
        </w:rPr>
        <w:t xml:space="preserve">Niedrigschwellige* Einstiege in die Interessenvertretung </w:t>
      </w:r>
    </w:p>
    <w:p w:rsidR="00624668" w:rsidRPr="00C2031D" w:rsidRDefault="00624668" w:rsidP="00624668">
      <w:pPr>
        <w:spacing w:line="360" w:lineRule="auto"/>
        <w:ind w:right="567"/>
        <w:rPr>
          <w:rFonts w:ascii="Calibri" w:hAnsi="Calibri" w:cs="Calibri"/>
          <w:b/>
          <w:bCs/>
          <w:color w:val="C45911" w:themeColor="accent2" w:themeShade="BF"/>
        </w:rPr>
      </w:pPr>
      <w:r w:rsidRPr="77FBAD48">
        <w:rPr>
          <w:rFonts w:ascii="Calibri" w:hAnsi="Calibri" w:cs="Calibri"/>
          <w:b/>
          <w:bCs/>
          <w:color w:val="C45911" w:themeColor="accent2" w:themeShade="BF"/>
        </w:rPr>
        <w:t xml:space="preserve">Die Kommunalpolitik ist eine Hürde an sich. Die Verfahren, Strukturen und Hintergründe sind komplex. Interessenvertretungen bietet eine niedrigschwellige Möglichkeit der politischen Partizipation für alle, die noch kein umfangreiches Theorie-Wissen verfügen. Für viele sind sie auch ein Weg, um über </w:t>
      </w:r>
      <w:r>
        <w:rPr>
          <w:rFonts w:ascii="Calibri" w:hAnsi="Calibri" w:cs="Calibri"/>
          <w:b/>
          <w:bCs/>
          <w:color w:val="C45911" w:themeColor="accent2" w:themeShade="BF"/>
        </w:rPr>
        <w:t>„</w:t>
      </w:r>
      <w:r w:rsidRPr="77FBAD48">
        <w:rPr>
          <w:rFonts w:ascii="Calibri" w:hAnsi="Calibri" w:cs="Calibri"/>
          <w:b/>
          <w:bCs/>
          <w:color w:val="C45911" w:themeColor="accent2" w:themeShade="BF"/>
        </w:rPr>
        <w:t>learning by doing</w:t>
      </w:r>
      <w:r>
        <w:rPr>
          <w:rFonts w:ascii="Calibri" w:hAnsi="Calibri" w:cs="Calibri"/>
          <w:b/>
          <w:bCs/>
          <w:color w:val="C45911" w:themeColor="accent2" w:themeShade="BF"/>
        </w:rPr>
        <w:t>“</w:t>
      </w:r>
      <w:r w:rsidRPr="77FBAD48">
        <w:rPr>
          <w:rFonts w:ascii="Calibri" w:hAnsi="Calibri" w:cs="Calibri"/>
          <w:b/>
          <w:bCs/>
          <w:color w:val="C45911" w:themeColor="accent2" w:themeShade="BF"/>
        </w:rPr>
        <w:t xml:space="preserve"> langsam in die kommunalpolitische Welt vorzudringen. </w:t>
      </w:r>
    </w:p>
    <w:tbl>
      <w:tblPr>
        <w:tblStyle w:val="Tabellenraster"/>
        <w:tblW w:w="15187" w:type="dxa"/>
        <w:tblLook w:val="04A0" w:firstRow="1" w:lastRow="0" w:firstColumn="1" w:lastColumn="0" w:noHBand="0" w:noVBand="1"/>
      </w:tblPr>
      <w:tblGrid>
        <w:gridCol w:w="1989"/>
        <w:gridCol w:w="6271"/>
        <w:gridCol w:w="4801"/>
        <w:gridCol w:w="1081"/>
        <w:gridCol w:w="1045"/>
      </w:tblGrid>
      <w:tr w:rsidR="00624668" w:rsidRPr="00E202C4" w:rsidTr="00546ED8">
        <w:trPr>
          <w:trHeight w:val="1231"/>
        </w:trPr>
        <w:tc>
          <w:tcPr>
            <w:tcW w:w="1989" w:type="dxa"/>
          </w:tcPr>
          <w:p w:rsidR="00624668" w:rsidRPr="00624668" w:rsidRDefault="00624668" w:rsidP="00546ED8">
            <w:pPr>
              <w:rPr>
                <w:b/>
                <w:color w:val="C45911" w:themeColor="accent2" w:themeShade="BF"/>
              </w:rPr>
            </w:pPr>
            <w:r w:rsidRPr="00624668">
              <w:rPr>
                <w:b/>
                <w:color w:val="C45911" w:themeColor="accent2" w:themeShade="BF"/>
              </w:rPr>
              <w:t>Aspekt</w:t>
            </w:r>
          </w:p>
          <w:p w:rsidR="00624668" w:rsidRPr="00624668" w:rsidRDefault="00624668" w:rsidP="00546ED8">
            <w:pPr>
              <w:rPr>
                <w:b/>
                <w:color w:val="C45911" w:themeColor="accent2" w:themeShade="BF"/>
              </w:rPr>
            </w:pPr>
          </w:p>
        </w:tc>
        <w:tc>
          <w:tcPr>
            <w:tcW w:w="6271" w:type="dxa"/>
          </w:tcPr>
          <w:p w:rsidR="00624668" w:rsidRPr="00624668" w:rsidRDefault="00624668" w:rsidP="00546ED8">
            <w:pPr>
              <w:spacing w:line="276" w:lineRule="auto"/>
              <w:rPr>
                <w:b/>
                <w:color w:val="C45911" w:themeColor="accent2" w:themeShade="BF"/>
              </w:rPr>
            </w:pPr>
            <w:r w:rsidRPr="00624668">
              <w:rPr>
                <w:b/>
                <w:color w:val="C45911" w:themeColor="accent2" w:themeShade="BF"/>
              </w:rPr>
              <w:t>Leitfragen</w:t>
            </w:r>
          </w:p>
        </w:tc>
        <w:tc>
          <w:tcPr>
            <w:tcW w:w="4801" w:type="dxa"/>
          </w:tcPr>
          <w:p w:rsidR="00624668" w:rsidRPr="00624668" w:rsidRDefault="00624668" w:rsidP="00546ED8">
            <w:pPr>
              <w:rPr>
                <w:b/>
                <w:color w:val="C45911" w:themeColor="accent2" w:themeShade="BF"/>
              </w:rPr>
            </w:pPr>
            <w:r w:rsidRPr="00624668">
              <w:rPr>
                <w:b/>
                <w:color w:val="C45911" w:themeColor="accent2" w:themeShade="BF"/>
              </w:rPr>
              <w:t>Rechtlicher Bezug</w:t>
            </w:r>
          </w:p>
        </w:tc>
        <w:tc>
          <w:tcPr>
            <w:tcW w:w="1081" w:type="dxa"/>
          </w:tcPr>
          <w:p w:rsidR="00624668" w:rsidRPr="00624668" w:rsidRDefault="00624668" w:rsidP="00546ED8">
            <w:pPr>
              <w:rPr>
                <w:b/>
                <w:color w:val="C45911" w:themeColor="accent2" w:themeShade="BF"/>
              </w:rPr>
            </w:pPr>
            <w:r w:rsidRPr="00624668">
              <w:rPr>
                <w:b/>
                <w:color w:val="C45911" w:themeColor="accent2" w:themeShade="BF"/>
              </w:rPr>
              <w:t>Setzen wir bereits um</w:t>
            </w:r>
          </w:p>
        </w:tc>
        <w:tc>
          <w:tcPr>
            <w:tcW w:w="1045" w:type="dxa"/>
          </w:tcPr>
          <w:p w:rsidR="00624668" w:rsidRPr="00624668" w:rsidRDefault="00624668" w:rsidP="00546ED8">
            <w:pPr>
              <w:rPr>
                <w:b/>
                <w:color w:val="C45911" w:themeColor="accent2" w:themeShade="BF"/>
              </w:rPr>
            </w:pPr>
            <w:r w:rsidRPr="00624668">
              <w:rPr>
                <w:b/>
                <w:color w:val="C45911" w:themeColor="accent2" w:themeShade="BF"/>
              </w:rPr>
              <w:t>Setzen wir noch nicht um</w:t>
            </w:r>
          </w:p>
        </w:tc>
      </w:tr>
      <w:tr w:rsidR="00624668" w:rsidRPr="00E202C4" w:rsidTr="00546ED8">
        <w:trPr>
          <w:trHeight w:val="1231"/>
        </w:trPr>
        <w:tc>
          <w:tcPr>
            <w:tcW w:w="1989" w:type="dxa"/>
          </w:tcPr>
          <w:p w:rsidR="00624668" w:rsidRPr="00624668" w:rsidRDefault="00624668" w:rsidP="00546ED8">
            <w:pPr>
              <w:rPr>
                <w:b/>
                <w:color w:val="C45911" w:themeColor="accent2" w:themeShade="BF"/>
              </w:rPr>
            </w:pPr>
            <w:r>
              <w:rPr>
                <w:b/>
                <w:color w:val="C45911" w:themeColor="accent2" w:themeShade="BF"/>
              </w:rPr>
              <w:t>Niedrigschwellige Einstiege</w:t>
            </w:r>
          </w:p>
        </w:tc>
        <w:tc>
          <w:tcPr>
            <w:tcW w:w="6271" w:type="dxa"/>
          </w:tcPr>
          <w:p w:rsidR="00624668" w:rsidRPr="00C2031D" w:rsidRDefault="00624668" w:rsidP="00624668">
            <w:pPr>
              <w:pStyle w:val="Listenabsatz"/>
              <w:numPr>
                <w:ilvl w:val="0"/>
                <w:numId w:val="11"/>
              </w:numPr>
              <w:spacing w:line="360" w:lineRule="auto"/>
              <w:ind w:right="567"/>
              <w:rPr>
                <w:rFonts w:ascii="Calibri" w:hAnsi="Calibri" w:cs="Calibri"/>
                <w:color w:val="C45911" w:themeColor="accent2" w:themeShade="BF"/>
              </w:rPr>
            </w:pPr>
            <w:r>
              <w:rPr>
                <w:rFonts w:ascii="Calibri" w:hAnsi="Calibri" w:cs="Calibri"/>
                <w:color w:val="C45911" w:themeColor="accent2" w:themeShade="BF"/>
              </w:rPr>
              <w:t>Gibt es Modelle, u</w:t>
            </w:r>
            <w:r w:rsidRPr="77FBAD48">
              <w:rPr>
                <w:rFonts w:ascii="Calibri" w:hAnsi="Calibri" w:cs="Calibri"/>
                <w:color w:val="C45911" w:themeColor="accent2" w:themeShade="BF"/>
              </w:rPr>
              <w:t>m insbesondere neue Mitglieder in die politische Arbeit einzuführen</w:t>
            </w:r>
            <w:r>
              <w:rPr>
                <w:rFonts w:ascii="Calibri" w:hAnsi="Calibri" w:cs="Calibri"/>
                <w:color w:val="C45911" w:themeColor="accent2" w:themeShade="BF"/>
              </w:rPr>
              <w:t>? Wie zum Beispiel</w:t>
            </w:r>
            <w:r w:rsidRPr="77FBAD48">
              <w:rPr>
                <w:rFonts w:ascii="Calibri" w:hAnsi="Calibri" w:cs="Calibri"/>
                <w:color w:val="C45911" w:themeColor="accent2" w:themeShade="BF"/>
              </w:rPr>
              <w:t xml:space="preserve"> Tandempartnerschaften</w:t>
            </w:r>
            <w:r>
              <w:rPr>
                <w:rFonts w:ascii="Calibri" w:hAnsi="Calibri" w:cs="Calibri"/>
                <w:color w:val="C45911" w:themeColor="accent2" w:themeShade="BF"/>
              </w:rPr>
              <w:t>, bei denen</w:t>
            </w:r>
            <w:r w:rsidRPr="77FBAD48">
              <w:rPr>
                <w:rFonts w:ascii="Calibri" w:hAnsi="Calibri" w:cs="Calibri"/>
                <w:color w:val="C45911" w:themeColor="accent2" w:themeShade="BF"/>
              </w:rPr>
              <w:t xml:space="preserve"> erfahrenere Mitglieder die neuen Mitglieder intensiv unterstützen. </w:t>
            </w:r>
          </w:p>
          <w:p w:rsidR="00624668" w:rsidRPr="00C2031D" w:rsidRDefault="00624668" w:rsidP="00624668">
            <w:pPr>
              <w:pStyle w:val="Listenabsatz"/>
              <w:numPr>
                <w:ilvl w:val="0"/>
                <w:numId w:val="11"/>
              </w:numPr>
              <w:spacing w:line="360" w:lineRule="auto"/>
              <w:ind w:right="567"/>
              <w:rPr>
                <w:rFonts w:ascii="Calibri" w:hAnsi="Calibri" w:cs="Calibri"/>
                <w:color w:val="C45911" w:themeColor="accent2" w:themeShade="BF"/>
              </w:rPr>
            </w:pPr>
            <w:r>
              <w:rPr>
                <w:rFonts w:ascii="Calibri" w:hAnsi="Calibri" w:cs="Calibri"/>
                <w:color w:val="C45911" w:themeColor="accent2" w:themeShade="BF"/>
              </w:rPr>
              <w:t xml:space="preserve">Gibt es Arbeitskreise, die </w:t>
            </w:r>
            <w:r w:rsidRPr="00C2031D">
              <w:rPr>
                <w:rFonts w:ascii="Calibri" w:hAnsi="Calibri" w:cs="Calibri"/>
                <w:color w:val="C45911" w:themeColor="accent2" w:themeShade="BF"/>
              </w:rPr>
              <w:t xml:space="preserve">Interessen in einem „geschützten Rahmen“ </w:t>
            </w:r>
            <w:r>
              <w:rPr>
                <w:rFonts w:ascii="Calibri" w:hAnsi="Calibri" w:cs="Calibri"/>
                <w:color w:val="C45911" w:themeColor="accent2" w:themeShade="BF"/>
              </w:rPr>
              <w:t xml:space="preserve">bündeln und </w:t>
            </w:r>
            <w:r w:rsidRPr="00C2031D">
              <w:rPr>
                <w:rFonts w:ascii="Calibri" w:hAnsi="Calibri" w:cs="Calibri"/>
                <w:color w:val="C45911" w:themeColor="accent2" w:themeShade="BF"/>
              </w:rPr>
              <w:t>analog zu Arbeitskreisen bei</w:t>
            </w:r>
            <w:r>
              <w:rPr>
                <w:rFonts w:ascii="Calibri" w:hAnsi="Calibri" w:cs="Calibri"/>
                <w:color w:val="C45911" w:themeColor="accent2" w:themeShade="BF"/>
              </w:rPr>
              <w:t xml:space="preserve"> Fraktionen auch bezahlt werden? Können dort </w:t>
            </w:r>
            <w:r w:rsidRPr="00C2031D">
              <w:rPr>
                <w:rFonts w:ascii="Calibri" w:hAnsi="Calibri" w:cs="Calibri"/>
                <w:color w:val="C45911" w:themeColor="accent2" w:themeShade="BF"/>
              </w:rPr>
              <w:t>Expert*innen in eigener Sache niedrigschwellig politische Vertre</w:t>
            </w:r>
            <w:r>
              <w:rPr>
                <w:rFonts w:ascii="Calibri" w:hAnsi="Calibri" w:cs="Calibri"/>
                <w:color w:val="C45911" w:themeColor="accent2" w:themeShade="BF"/>
              </w:rPr>
              <w:t>tungsarbeit erfahren und lernen und g</w:t>
            </w:r>
            <w:r w:rsidRPr="00C2031D">
              <w:rPr>
                <w:rFonts w:ascii="Calibri" w:hAnsi="Calibri" w:cs="Calibri"/>
                <w:color w:val="C45911" w:themeColor="accent2" w:themeShade="BF"/>
              </w:rPr>
              <w:t>leichzeitig die Arbeit in den Beiräten vor</w:t>
            </w:r>
            <w:r>
              <w:rPr>
                <w:rFonts w:ascii="Calibri" w:hAnsi="Calibri" w:cs="Calibri"/>
                <w:color w:val="C45911" w:themeColor="accent2" w:themeShade="BF"/>
              </w:rPr>
              <w:t>bereiten</w:t>
            </w:r>
            <w:r w:rsidRPr="00C2031D">
              <w:rPr>
                <w:rFonts w:ascii="Calibri" w:hAnsi="Calibri" w:cs="Calibri"/>
                <w:color w:val="C45911" w:themeColor="accent2" w:themeShade="BF"/>
              </w:rPr>
              <w:t xml:space="preserve"> und </w:t>
            </w:r>
            <w:r>
              <w:rPr>
                <w:rFonts w:ascii="Calibri" w:hAnsi="Calibri" w:cs="Calibri"/>
                <w:color w:val="C45911" w:themeColor="accent2" w:themeShade="BF"/>
              </w:rPr>
              <w:t>mitgestalten?</w:t>
            </w:r>
          </w:p>
          <w:p w:rsidR="00624668" w:rsidRDefault="00624668" w:rsidP="00624668">
            <w:pPr>
              <w:pStyle w:val="Listenabsatz"/>
              <w:numPr>
                <w:ilvl w:val="0"/>
                <w:numId w:val="11"/>
              </w:numPr>
              <w:spacing w:line="360" w:lineRule="auto"/>
              <w:ind w:right="567"/>
              <w:rPr>
                <w:rFonts w:ascii="Calibri" w:hAnsi="Calibri" w:cs="Calibri"/>
                <w:color w:val="C45911" w:themeColor="accent2" w:themeShade="BF"/>
              </w:rPr>
            </w:pPr>
            <w:r>
              <w:rPr>
                <w:rFonts w:ascii="Calibri" w:hAnsi="Calibri" w:cs="Calibri"/>
                <w:color w:val="C45911" w:themeColor="accent2" w:themeShade="BF"/>
              </w:rPr>
              <w:lastRenderedPageBreak/>
              <w:t>Werden</w:t>
            </w:r>
            <w:r w:rsidRPr="77FBAD48">
              <w:rPr>
                <w:rFonts w:ascii="Calibri" w:hAnsi="Calibri" w:cs="Calibri"/>
                <w:color w:val="C45911" w:themeColor="accent2" w:themeShade="BF"/>
              </w:rPr>
              <w:t xml:space="preserve"> regelmäßig offene Veranstaltungen von der Interessenvertretung angeboten, um einen ersten Zugang für alle Interessierten zu ermöglichen</w:t>
            </w:r>
            <w:r>
              <w:rPr>
                <w:rFonts w:ascii="Calibri" w:hAnsi="Calibri" w:cs="Calibri"/>
                <w:color w:val="C45911" w:themeColor="accent2" w:themeShade="BF"/>
              </w:rPr>
              <w:t>?</w:t>
            </w:r>
            <w:r w:rsidRPr="77FBAD48">
              <w:rPr>
                <w:rFonts w:ascii="Calibri" w:hAnsi="Calibri" w:cs="Calibri"/>
                <w:color w:val="C45911" w:themeColor="accent2" w:themeShade="BF"/>
              </w:rPr>
              <w:t xml:space="preserve"> </w:t>
            </w:r>
          </w:p>
          <w:p w:rsidR="00624668" w:rsidRPr="00C2031D" w:rsidRDefault="00624668" w:rsidP="00624668">
            <w:pPr>
              <w:pStyle w:val="Listenabsatz"/>
              <w:numPr>
                <w:ilvl w:val="0"/>
                <w:numId w:val="11"/>
              </w:numPr>
              <w:spacing w:line="360" w:lineRule="auto"/>
              <w:ind w:right="567"/>
              <w:rPr>
                <w:rFonts w:ascii="Calibri" w:hAnsi="Calibri" w:cs="Calibri"/>
                <w:color w:val="C45911" w:themeColor="accent2" w:themeShade="BF"/>
              </w:rPr>
            </w:pPr>
            <w:r>
              <w:rPr>
                <w:rFonts w:ascii="Calibri" w:hAnsi="Calibri" w:cs="Calibri"/>
                <w:color w:val="C45911" w:themeColor="accent2" w:themeShade="BF"/>
              </w:rPr>
              <w:t xml:space="preserve">Gibt es </w:t>
            </w:r>
            <w:r w:rsidRPr="77FBAD48">
              <w:rPr>
                <w:rFonts w:ascii="Calibri" w:hAnsi="Calibri" w:cs="Calibri"/>
                <w:color w:val="C45911" w:themeColor="accent2" w:themeShade="BF"/>
              </w:rPr>
              <w:t>Weiterbildungsangebo</w:t>
            </w:r>
            <w:r>
              <w:rPr>
                <w:rFonts w:ascii="Calibri" w:hAnsi="Calibri" w:cs="Calibri"/>
                <w:color w:val="C45911" w:themeColor="accent2" w:themeShade="BF"/>
              </w:rPr>
              <w:t>te zur politischen Arbeit, die</w:t>
            </w:r>
            <w:r w:rsidRPr="77FBAD48">
              <w:rPr>
                <w:rFonts w:ascii="Calibri" w:hAnsi="Calibri" w:cs="Calibri"/>
                <w:color w:val="C45911" w:themeColor="accent2" w:themeShade="BF"/>
              </w:rPr>
              <w:t xml:space="preserve"> als Einstieg in die Vertretungsarbeit genutzt werden</w:t>
            </w:r>
            <w:r>
              <w:rPr>
                <w:rFonts w:ascii="Calibri" w:hAnsi="Calibri" w:cs="Calibri"/>
                <w:color w:val="C45911" w:themeColor="accent2" w:themeShade="BF"/>
              </w:rPr>
              <w:t xml:space="preserve"> können?</w:t>
            </w:r>
            <w:r w:rsidRPr="77FBAD48">
              <w:rPr>
                <w:rFonts w:ascii="Calibri" w:hAnsi="Calibri" w:cs="Calibri"/>
                <w:color w:val="C45911" w:themeColor="accent2" w:themeShade="BF"/>
              </w:rPr>
              <w:t xml:space="preserve"> </w:t>
            </w:r>
          </w:p>
          <w:p w:rsidR="00624668" w:rsidRPr="00624668" w:rsidRDefault="00624668" w:rsidP="00546ED8">
            <w:pPr>
              <w:spacing w:line="276" w:lineRule="auto"/>
              <w:rPr>
                <w:b/>
                <w:color w:val="C45911" w:themeColor="accent2" w:themeShade="BF"/>
              </w:rPr>
            </w:pPr>
          </w:p>
        </w:tc>
        <w:tc>
          <w:tcPr>
            <w:tcW w:w="4801" w:type="dxa"/>
          </w:tcPr>
          <w:p w:rsidR="00624668" w:rsidRPr="00624668" w:rsidRDefault="00624668" w:rsidP="00624668">
            <w:pPr>
              <w:spacing w:line="360" w:lineRule="auto"/>
              <w:rPr>
                <w:rFonts w:cstheme="minorHAnsi"/>
              </w:rPr>
            </w:pPr>
            <w:r w:rsidRPr="00624668">
              <w:rPr>
                <w:rFonts w:cstheme="minorHAnsi"/>
              </w:rPr>
              <w:lastRenderedPageBreak/>
              <w:t xml:space="preserve">Die Vertragsstaaten garantieren Menschen mit Behinderungen die politischen Rechte sowie die Möglichkeit, diese gleichberechtigt mit anderen zu genießen, und verpflichten sich, </w:t>
            </w:r>
            <w:r w:rsidRPr="00624668">
              <w:rPr>
                <w:rFonts w:eastAsia="Times New Roman" w:cstheme="minorHAnsi"/>
                <w:lang w:eastAsia="de-DE"/>
              </w:rPr>
              <w:t>aktiv ein Umfeld zu fördern, in dem Menschen mit Behinderungen ohne Diskriminierung und gleichberechtigt mit anderen wirksam und umfassend an der Gestaltung der öffentlichen Angelegenheiten mitwirken können, und ihre Mitwirkung an den öffentlichen Angelegenheiten zu begünstigen, unter anderem </w:t>
            </w:r>
          </w:p>
          <w:p w:rsidR="00624668" w:rsidRPr="00624668" w:rsidRDefault="00624668" w:rsidP="00624668">
            <w:pPr>
              <w:numPr>
                <w:ilvl w:val="0"/>
                <w:numId w:val="12"/>
              </w:numPr>
              <w:spacing w:before="100" w:beforeAutospacing="1" w:after="100" w:afterAutospacing="1" w:line="360" w:lineRule="auto"/>
              <w:rPr>
                <w:rFonts w:eastAsia="Times New Roman" w:cstheme="minorHAnsi"/>
                <w:lang w:eastAsia="de-DE"/>
              </w:rPr>
            </w:pPr>
            <w:r w:rsidRPr="00624668">
              <w:rPr>
                <w:rFonts w:eastAsia="Times New Roman" w:cstheme="minorHAnsi"/>
                <w:lang w:eastAsia="de-DE"/>
              </w:rPr>
              <w:lastRenderedPageBreak/>
              <w:t>die Mitarbeit in nichtstaatlichen Organisationen und Vereinigungen, die sich mit dem öffentlichen und politischen Leben ihres Landes befassen, und an den Tätigkeiten und der Verwaltung politischer Parteien;</w:t>
            </w:r>
          </w:p>
          <w:p w:rsidR="00624668" w:rsidRDefault="00624668" w:rsidP="00624668">
            <w:pPr>
              <w:numPr>
                <w:ilvl w:val="0"/>
                <w:numId w:val="12"/>
              </w:numPr>
              <w:spacing w:before="100" w:beforeAutospacing="1" w:after="100" w:afterAutospacing="1" w:line="360" w:lineRule="auto"/>
              <w:rPr>
                <w:rFonts w:eastAsia="Times New Roman" w:cstheme="minorHAnsi"/>
                <w:lang w:eastAsia="de-DE"/>
              </w:rPr>
            </w:pPr>
            <w:r w:rsidRPr="00624668">
              <w:rPr>
                <w:rFonts w:eastAsia="Times New Roman" w:cstheme="minorHAnsi"/>
                <w:lang w:eastAsia="de-DE"/>
              </w:rPr>
              <w:t>die Bildung von Organisationen von Menschen mit Behinderungen, die sie auf internationaler, nationaler, regionaler und lokaler Ebene vertreten, und den Beitritt zu solchen Organisationen.</w:t>
            </w:r>
          </w:p>
          <w:p w:rsidR="00624668" w:rsidRPr="00624668" w:rsidRDefault="00624668" w:rsidP="00624668">
            <w:pPr>
              <w:spacing w:before="100" w:beforeAutospacing="1" w:after="100" w:afterAutospacing="1" w:line="360" w:lineRule="auto"/>
              <w:rPr>
                <w:rFonts w:eastAsia="Times New Roman" w:cstheme="minorHAnsi"/>
                <w:lang w:eastAsia="de-DE"/>
              </w:rPr>
            </w:pPr>
            <w:r>
              <w:rPr>
                <w:rFonts w:eastAsia="Times New Roman" w:cstheme="minorHAnsi"/>
                <w:lang w:eastAsia="de-DE"/>
              </w:rPr>
              <w:t>UN-BRK, Artikel 29</w:t>
            </w:r>
          </w:p>
          <w:p w:rsidR="00624668" w:rsidRPr="00624668" w:rsidRDefault="00624668" w:rsidP="00624668">
            <w:pPr>
              <w:spacing w:line="360" w:lineRule="auto"/>
              <w:rPr>
                <w:rFonts w:cstheme="minorHAnsi"/>
                <w:b/>
                <w:color w:val="C45911" w:themeColor="accent2" w:themeShade="BF"/>
              </w:rPr>
            </w:pPr>
          </w:p>
        </w:tc>
        <w:tc>
          <w:tcPr>
            <w:tcW w:w="1081" w:type="dxa"/>
          </w:tcPr>
          <w:p w:rsidR="00624668" w:rsidRPr="00624668" w:rsidRDefault="00624668" w:rsidP="00546ED8">
            <w:pPr>
              <w:rPr>
                <w:b/>
                <w:color w:val="C45911" w:themeColor="accent2" w:themeShade="BF"/>
              </w:rPr>
            </w:pPr>
          </w:p>
        </w:tc>
        <w:tc>
          <w:tcPr>
            <w:tcW w:w="1045" w:type="dxa"/>
          </w:tcPr>
          <w:p w:rsidR="00624668" w:rsidRPr="00624668" w:rsidRDefault="00624668" w:rsidP="00546ED8">
            <w:pPr>
              <w:rPr>
                <w:b/>
                <w:color w:val="C45911" w:themeColor="accent2" w:themeShade="BF"/>
              </w:rPr>
            </w:pPr>
          </w:p>
        </w:tc>
      </w:tr>
    </w:tbl>
    <w:p w:rsidR="0016325F" w:rsidRDefault="0016325F" w:rsidP="006E1F44">
      <w:pPr>
        <w:spacing w:line="276" w:lineRule="auto"/>
      </w:pPr>
    </w:p>
    <w:p w:rsidR="00624668" w:rsidRPr="00624668" w:rsidRDefault="00624668" w:rsidP="00624668">
      <w:pPr>
        <w:pStyle w:val="Listenabsatz"/>
        <w:numPr>
          <w:ilvl w:val="0"/>
          <w:numId w:val="4"/>
        </w:numPr>
        <w:spacing w:line="360" w:lineRule="auto"/>
        <w:ind w:right="567"/>
        <w:rPr>
          <w:rFonts w:ascii="Calibri" w:hAnsi="Calibri" w:cs="Calibri"/>
          <w:b/>
          <w:bCs/>
          <w:color w:val="C45911" w:themeColor="accent2" w:themeShade="BF"/>
        </w:rPr>
      </w:pPr>
      <w:r w:rsidRPr="00624668">
        <w:rPr>
          <w:rFonts w:ascii="Calibri" w:hAnsi="Calibri" w:cs="Calibri"/>
          <w:b/>
          <w:bCs/>
          <w:color w:val="C45911" w:themeColor="accent2" w:themeShade="BF"/>
        </w:rPr>
        <w:t>Barrierefreiheit</w:t>
      </w:r>
    </w:p>
    <w:p w:rsidR="00624668" w:rsidRDefault="00624668" w:rsidP="00624668">
      <w:pPr>
        <w:spacing w:line="360" w:lineRule="auto"/>
        <w:ind w:right="567"/>
        <w:rPr>
          <w:rFonts w:ascii="Calibri" w:hAnsi="Calibri" w:cs="Calibri"/>
          <w:b/>
          <w:bCs/>
          <w:color w:val="C45911" w:themeColor="accent2" w:themeShade="BF"/>
        </w:rPr>
      </w:pPr>
      <w:r w:rsidRPr="77FBAD48">
        <w:rPr>
          <w:rFonts w:ascii="Calibri" w:hAnsi="Calibri" w:cs="Calibri"/>
          <w:b/>
          <w:bCs/>
          <w:color w:val="C45911" w:themeColor="accent2" w:themeShade="BF"/>
        </w:rPr>
        <w:t>All die Bemühungen und guten Vorhaben nützen natürlich nichts, wenn Barrieren Menschen daran hindern, teilzunehmen.</w:t>
      </w:r>
    </w:p>
    <w:p w:rsidR="00624668" w:rsidRPr="00C2031D" w:rsidRDefault="00624668" w:rsidP="00624668">
      <w:pPr>
        <w:spacing w:line="360" w:lineRule="auto"/>
        <w:ind w:right="567"/>
        <w:rPr>
          <w:rFonts w:ascii="Calibri" w:hAnsi="Calibri" w:cs="Calibri"/>
          <w:b/>
          <w:bCs/>
          <w:color w:val="C45911" w:themeColor="accent2" w:themeShade="BF"/>
        </w:rPr>
      </w:pPr>
    </w:p>
    <w:tbl>
      <w:tblPr>
        <w:tblStyle w:val="Tabellenraster"/>
        <w:tblW w:w="15187" w:type="dxa"/>
        <w:tblLook w:val="04A0" w:firstRow="1" w:lastRow="0" w:firstColumn="1" w:lastColumn="0" w:noHBand="0" w:noVBand="1"/>
      </w:tblPr>
      <w:tblGrid>
        <w:gridCol w:w="1989"/>
        <w:gridCol w:w="6271"/>
        <w:gridCol w:w="4801"/>
        <w:gridCol w:w="1081"/>
        <w:gridCol w:w="1045"/>
      </w:tblGrid>
      <w:tr w:rsidR="00624668" w:rsidRPr="00624668" w:rsidTr="00546ED8">
        <w:trPr>
          <w:trHeight w:val="1231"/>
        </w:trPr>
        <w:tc>
          <w:tcPr>
            <w:tcW w:w="1989" w:type="dxa"/>
          </w:tcPr>
          <w:p w:rsidR="00624668" w:rsidRPr="00624668" w:rsidRDefault="00624668" w:rsidP="00546ED8">
            <w:pPr>
              <w:rPr>
                <w:b/>
                <w:color w:val="C45911" w:themeColor="accent2" w:themeShade="BF"/>
              </w:rPr>
            </w:pPr>
            <w:r w:rsidRPr="00624668">
              <w:rPr>
                <w:b/>
                <w:color w:val="C45911" w:themeColor="accent2" w:themeShade="BF"/>
              </w:rPr>
              <w:lastRenderedPageBreak/>
              <w:t>Aspekt</w:t>
            </w:r>
          </w:p>
          <w:p w:rsidR="00624668" w:rsidRPr="00624668" w:rsidRDefault="00624668" w:rsidP="00546ED8">
            <w:pPr>
              <w:rPr>
                <w:b/>
                <w:color w:val="C45911" w:themeColor="accent2" w:themeShade="BF"/>
              </w:rPr>
            </w:pPr>
          </w:p>
        </w:tc>
        <w:tc>
          <w:tcPr>
            <w:tcW w:w="6271" w:type="dxa"/>
          </w:tcPr>
          <w:p w:rsidR="00624668" w:rsidRPr="00624668" w:rsidRDefault="00624668" w:rsidP="00546ED8">
            <w:pPr>
              <w:spacing w:line="276" w:lineRule="auto"/>
              <w:rPr>
                <w:b/>
                <w:color w:val="C45911" w:themeColor="accent2" w:themeShade="BF"/>
              </w:rPr>
            </w:pPr>
            <w:r w:rsidRPr="00624668">
              <w:rPr>
                <w:b/>
                <w:color w:val="C45911" w:themeColor="accent2" w:themeShade="BF"/>
              </w:rPr>
              <w:t>Leitfragen</w:t>
            </w:r>
          </w:p>
        </w:tc>
        <w:tc>
          <w:tcPr>
            <w:tcW w:w="4801" w:type="dxa"/>
          </w:tcPr>
          <w:p w:rsidR="00624668" w:rsidRPr="00624668" w:rsidRDefault="00624668" w:rsidP="00546ED8">
            <w:pPr>
              <w:rPr>
                <w:b/>
                <w:color w:val="C45911" w:themeColor="accent2" w:themeShade="BF"/>
              </w:rPr>
            </w:pPr>
            <w:r w:rsidRPr="00624668">
              <w:rPr>
                <w:b/>
                <w:color w:val="C45911" w:themeColor="accent2" w:themeShade="BF"/>
              </w:rPr>
              <w:t>Rechtlicher Bezug</w:t>
            </w:r>
          </w:p>
        </w:tc>
        <w:tc>
          <w:tcPr>
            <w:tcW w:w="1081" w:type="dxa"/>
          </w:tcPr>
          <w:p w:rsidR="00624668" w:rsidRPr="00624668" w:rsidRDefault="00624668" w:rsidP="00546ED8">
            <w:pPr>
              <w:rPr>
                <w:b/>
                <w:color w:val="C45911" w:themeColor="accent2" w:themeShade="BF"/>
              </w:rPr>
            </w:pPr>
            <w:r w:rsidRPr="00624668">
              <w:rPr>
                <w:b/>
                <w:color w:val="C45911" w:themeColor="accent2" w:themeShade="BF"/>
              </w:rPr>
              <w:t>Setzen wir bereits um</w:t>
            </w:r>
          </w:p>
        </w:tc>
        <w:tc>
          <w:tcPr>
            <w:tcW w:w="1045" w:type="dxa"/>
          </w:tcPr>
          <w:p w:rsidR="00624668" w:rsidRPr="00624668" w:rsidRDefault="00624668" w:rsidP="00546ED8">
            <w:pPr>
              <w:rPr>
                <w:b/>
                <w:color w:val="C45911" w:themeColor="accent2" w:themeShade="BF"/>
              </w:rPr>
            </w:pPr>
            <w:r w:rsidRPr="00624668">
              <w:rPr>
                <w:b/>
                <w:color w:val="C45911" w:themeColor="accent2" w:themeShade="BF"/>
              </w:rPr>
              <w:t>Setzen wir noch nicht um</w:t>
            </w:r>
          </w:p>
        </w:tc>
      </w:tr>
      <w:tr w:rsidR="00624668" w:rsidRPr="00624668" w:rsidTr="00546ED8">
        <w:trPr>
          <w:trHeight w:val="1231"/>
        </w:trPr>
        <w:tc>
          <w:tcPr>
            <w:tcW w:w="1989" w:type="dxa"/>
          </w:tcPr>
          <w:p w:rsidR="00624668" w:rsidRPr="00624668" w:rsidRDefault="00624668" w:rsidP="00546ED8">
            <w:pPr>
              <w:rPr>
                <w:color w:val="C45911" w:themeColor="accent2" w:themeShade="BF"/>
              </w:rPr>
            </w:pPr>
            <w:r w:rsidRPr="00624668">
              <w:t>Barrierefreiheit</w:t>
            </w:r>
          </w:p>
        </w:tc>
        <w:tc>
          <w:tcPr>
            <w:tcW w:w="6271" w:type="dxa"/>
          </w:tcPr>
          <w:p w:rsidR="003426DC" w:rsidRPr="00C2031D" w:rsidRDefault="003426DC" w:rsidP="003426DC">
            <w:pPr>
              <w:pStyle w:val="Listenabsatz"/>
              <w:numPr>
                <w:ilvl w:val="0"/>
                <w:numId w:val="13"/>
              </w:numPr>
              <w:spacing w:line="360" w:lineRule="auto"/>
              <w:ind w:right="567"/>
              <w:rPr>
                <w:rFonts w:eastAsiaTheme="minorEastAsia"/>
                <w:color w:val="C45911" w:themeColor="accent2" w:themeShade="BF"/>
              </w:rPr>
            </w:pPr>
            <w:r>
              <w:rPr>
                <w:rFonts w:ascii="Calibri" w:hAnsi="Calibri" w:cs="Calibri"/>
                <w:color w:val="C45911" w:themeColor="accent2" w:themeShade="BF"/>
              </w:rPr>
              <w:t>Sind alle relevanten Informationen zugänglich und auffindbar? Wird da, wo Barrierefreiheit nicht gewährleistet werden kann, Assistenz ermöglicht?</w:t>
            </w:r>
            <w:r w:rsidRPr="77FBAD48">
              <w:rPr>
                <w:rFonts w:ascii="Calibri" w:hAnsi="Calibri" w:cs="Calibri"/>
                <w:color w:val="C45911" w:themeColor="accent2" w:themeShade="BF"/>
              </w:rPr>
              <w:t xml:space="preserve"> </w:t>
            </w:r>
          </w:p>
          <w:p w:rsidR="003426DC" w:rsidRPr="00C2031D" w:rsidRDefault="003426DC" w:rsidP="003426DC">
            <w:pPr>
              <w:pStyle w:val="Listenabsatz"/>
              <w:numPr>
                <w:ilvl w:val="0"/>
                <w:numId w:val="13"/>
              </w:numPr>
              <w:spacing w:line="360" w:lineRule="auto"/>
              <w:ind w:right="567"/>
              <w:rPr>
                <w:rFonts w:ascii="Calibri" w:hAnsi="Calibri" w:cs="Calibri"/>
                <w:color w:val="C45911" w:themeColor="accent2" w:themeShade="BF"/>
              </w:rPr>
            </w:pPr>
            <w:r>
              <w:rPr>
                <w:rFonts w:ascii="Calibri" w:hAnsi="Calibri" w:cs="Calibri"/>
                <w:color w:val="C45911" w:themeColor="accent2" w:themeShade="BF"/>
              </w:rPr>
              <w:t>Wird i</w:t>
            </w:r>
            <w:r w:rsidRPr="77FBAD48">
              <w:rPr>
                <w:rFonts w:ascii="Calibri" w:hAnsi="Calibri" w:cs="Calibri"/>
                <w:color w:val="C45911" w:themeColor="accent2" w:themeShade="BF"/>
              </w:rPr>
              <w:t>n den Sitzungen</w:t>
            </w:r>
            <w:r>
              <w:rPr>
                <w:rFonts w:ascii="Calibri" w:hAnsi="Calibri" w:cs="Calibri"/>
                <w:color w:val="C45911" w:themeColor="accent2" w:themeShade="BF"/>
              </w:rPr>
              <w:t xml:space="preserve"> </w:t>
            </w:r>
            <w:r w:rsidRPr="77FBAD48">
              <w:rPr>
                <w:rFonts w:ascii="Calibri" w:hAnsi="Calibri" w:cs="Calibri"/>
                <w:color w:val="C45911" w:themeColor="accent2" w:themeShade="BF"/>
              </w:rPr>
              <w:t>vor allem auf die unterschiedlichen Bedürfnisse in Hinblick auf die Kommunikation der einzelnen Mitglieder eingegangen (zum Beispiel: Leichte Sprache, Sitzungsdauer, Kommunikations</w:t>
            </w:r>
            <w:r>
              <w:rPr>
                <w:rFonts w:ascii="Calibri" w:hAnsi="Calibri" w:cs="Calibri"/>
                <w:color w:val="C45911" w:themeColor="accent2" w:themeShade="BF"/>
              </w:rPr>
              <w:t>assistenten, Dolmetscher*innen)?</w:t>
            </w:r>
          </w:p>
          <w:p w:rsidR="00624668" w:rsidRPr="00624668" w:rsidRDefault="00624668" w:rsidP="007C2484">
            <w:pPr>
              <w:pStyle w:val="Listenabsatz"/>
              <w:spacing w:line="360" w:lineRule="auto"/>
              <w:ind w:right="567"/>
              <w:rPr>
                <w:b/>
                <w:color w:val="C45911" w:themeColor="accent2" w:themeShade="BF"/>
              </w:rPr>
            </w:pPr>
          </w:p>
        </w:tc>
        <w:tc>
          <w:tcPr>
            <w:tcW w:w="4801" w:type="dxa"/>
          </w:tcPr>
          <w:p w:rsidR="00F60EE5" w:rsidRPr="00F60EE5" w:rsidRDefault="00F60EE5" w:rsidP="00F60EE5">
            <w:pPr>
              <w:spacing w:before="100" w:beforeAutospacing="1" w:after="100" w:afterAutospacing="1"/>
              <w:rPr>
                <w:rFonts w:ascii="Times New Roman" w:eastAsia="Times New Roman" w:hAnsi="Times New Roman" w:cs="Times New Roman"/>
                <w:sz w:val="24"/>
                <w:szCs w:val="24"/>
                <w:lang w:eastAsia="de-DE"/>
              </w:rPr>
            </w:pPr>
            <w:r w:rsidRPr="00F60EE5">
              <w:rPr>
                <w:rFonts w:ascii="Times New Roman" w:eastAsia="Times New Roman" w:hAnsi="Times New Roman" w:cs="Times New Roman"/>
                <w:sz w:val="24"/>
                <w:szCs w:val="24"/>
                <w:lang w:eastAsia="de-DE"/>
              </w:rPr>
              <w:t xml:space="preserve">1) Um Menschen mit Behinderungen eine unabhängige Lebensführung und die volle Teilhabe in allen Lebensbereichen zu ermöglichen, treffen die Vertragsstaaten geeignete Maßnahmen mit dem Ziel, für Menschen mit Behinderungen den gleichberechtigten Zugang zur physischen Umwelt, zu Transportmitteln, Information und Kommunikation, einschließlich Informations- und Kommunikationstechnologien und </w:t>
            </w:r>
            <w:r w:rsidRPr="00F60EE5">
              <w:rPr>
                <w:rFonts w:ascii="Times New Roman" w:eastAsia="Times New Roman" w:hAnsi="Times New Roman" w:cs="Times New Roman"/>
                <w:sz w:val="24"/>
                <w:szCs w:val="24"/>
                <w:lang w:eastAsia="de-DE"/>
              </w:rPr>
              <w:noBreakHyphen/>
              <w:t xml:space="preserve">systemen, sowie zu anderen Einrichtungen und Diensten, die der Öffentlichkeit in städtischen und ländlichen Gebieten offenstehen oder für sie bereitgestellt werden, zu gewährleisten. Diese Maßnahmen, welche die Feststellung und Beseitigung von Zugangshindernissen und </w:t>
            </w:r>
            <w:r w:rsidRPr="00F60EE5">
              <w:rPr>
                <w:rFonts w:ascii="Times New Roman" w:eastAsia="Times New Roman" w:hAnsi="Times New Roman" w:cs="Times New Roman"/>
                <w:sz w:val="24"/>
                <w:szCs w:val="24"/>
                <w:lang w:eastAsia="de-DE"/>
              </w:rPr>
              <w:noBreakHyphen/>
              <w:t>barrieren einschließen, gelten unter anderem für</w:t>
            </w:r>
          </w:p>
          <w:p w:rsidR="00F60EE5" w:rsidRPr="00F60EE5" w:rsidRDefault="00F60EE5" w:rsidP="00F60EE5">
            <w:pPr>
              <w:numPr>
                <w:ilvl w:val="0"/>
                <w:numId w:val="14"/>
              </w:numPr>
              <w:spacing w:before="100" w:beforeAutospacing="1" w:after="100" w:afterAutospacing="1"/>
              <w:rPr>
                <w:rFonts w:ascii="Times New Roman" w:eastAsia="Times New Roman" w:hAnsi="Times New Roman" w:cs="Times New Roman"/>
                <w:sz w:val="24"/>
                <w:szCs w:val="24"/>
                <w:lang w:eastAsia="de-DE"/>
              </w:rPr>
            </w:pPr>
            <w:r w:rsidRPr="00F60EE5">
              <w:rPr>
                <w:rFonts w:ascii="Times New Roman" w:eastAsia="Times New Roman" w:hAnsi="Times New Roman" w:cs="Times New Roman"/>
                <w:sz w:val="24"/>
                <w:szCs w:val="24"/>
                <w:lang w:eastAsia="de-DE"/>
              </w:rPr>
              <w:t>Gebäude, Straßen, Transportmittel sowie andere Einrichtungen in Gebäuden und im Freien, einschließlich Schulen, Wohnhäusern, medizinischer Einrichtungen und Arbeitsstätten;</w:t>
            </w:r>
          </w:p>
          <w:p w:rsidR="00F60EE5" w:rsidRPr="00F60EE5" w:rsidRDefault="00F60EE5" w:rsidP="00F60EE5">
            <w:pPr>
              <w:numPr>
                <w:ilvl w:val="0"/>
                <w:numId w:val="14"/>
              </w:numPr>
              <w:spacing w:before="100" w:beforeAutospacing="1" w:after="100" w:afterAutospacing="1"/>
              <w:rPr>
                <w:rFonts w:ascii="Times New Roman" w:eastAsia="Times New Roman" w:hAnsi="Times New Roman" w:cs="Times New Roman"/>
                <w:sz w:val="24"/>
                <w:szCs w:val="24"/>
                <w:lang w:eastAsia="de-DE"/>
              </w:rPr>
            </w:pPr>
            <w:r w:rsidRPr="00F60EE5">
              <w:rPr>
                <w:rFonts w:ascii="Times New Roman" w:eastAsia="Times New Roman" w:hAnsi="Times New Roman" w:cs="Times New Roman"/>
                <w:sz w:val="24"/>
                <w:szCs w:val="24"/>
                <w:lang w:eastAsia="de-DE"/>
              </w:rPr>
              <w:t>Informations</w:t>
            </w:r>
            <w:r w:rsidRPr="00F60EE5">
              <w:rPr>
                <w:rFonts w:ascii="Times New Roman" w:eastAsia="Times New Roman" w:hAnsi="Times New Roman" w:cs="Times New Roman"/>
                <w:sz w:val="24"/>
                <w:szCs w:val="24"/>
                <w:lang w:eastAsia="de-DE"/>
              </w:rPr>
              <w:noBreakHyphen/>
              <w:t>, Kommunikations- und andere Dienste, einschließlich elektronischer Dienste und Notdienste.</w:t>
            </w:r>
          </w:p>
          <w:p w:rsidR="00F60EE5" w:rsidRPr="00F60EE5" w:rsidRDefault="00F60EE5" w:rsidP="00F60EE5">
            <w:p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lastRenderedPageBreak/>
              <w:t>(2) Die Vertragsstaaten treffen außerdem geeignete Maßnahmen,</w:t>
            </w:r>
          </w:p>
          <w:p w:rsidR="00F60EE5" w:rsidRPr="00F60EE5" w:rsidRDefault="00F60EE5" w:rsidP="00F60EE5">
            <w:pPr>
              <w:numPr>
                <w:ilvl w:val="0"/>
                <w:numId w:val="15"/>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um Mindeststandards und Leitlinien für die Zugänglichkeit von Einrichtungen und Diensten, die der Öffentlichkeit offenstehen oder für sie bereitgestellt werden, auszuarbeiten und zu erlassen und ihre Anwendung zu überwachen;</w:t>
            </w:r>
          </w:p>
          <w:p w:rsidR="00F60EE5" w:rsidRPr="00F60EE5" w:rsidRDefault="00F60EE5" w:rsidP="00F60EE5">
            <w:pPr>
              <w:numPr>
                <w:ilvl w:val="0"/>
                <w:numId w:val="15"/>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um sicherzustellen, dass private Rechtsträger, die Einrichtungen und Dienste, die der Öffentlichkeit offenstehen oder für sie bereitgestellt werden, anbieten, alle Aspekte der Zugänglichkeit für Menschen mit Behinderungen berücksichtigen;</w:t>
            </w:r>
          </w:p>
          <w:p w:rsidR="00F60EE5" w:rsidRPr="00F60EE5" w:rsidRDefault="00F60EE5" w:rsidP="00F60EE5">
            <w:pPr>
              <w:numPr>
                <w:ilvl w:val="0"/>
                <w:numId w:val="15"/>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um betroffenen Kreisen Schulungen zu Fragen der Zugänglichkeit für Menschen mit Behinderungen anzubieten;</w:t>
            </w:r>
          </w:p>
          <w:p w:rsidR="00F60EE5" w:rsidRPr="00F60EE5" w:rsidRDefault="00F60EE5" w:rsidP="00F60EE5">
            <w:pPr>
              <w:numPr>
                <w:ilvl w:val="0"/>
                <w:numId w:val="15"/>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 xml:space="preserve">um in Gebäuden und anderen Einrichtungen, die der Öffentlichkeit offenstehen, Beschilderungen in </w:t>
            </w:r>
            <w:r w:rsidRPr="00F60EE5">
              <w:rPr>
                <w:rFonts w:eastAsia="Times New Roman" w:cstheme="minorHAnsi"/>
                <w:lang w:eastAsia="de-DE"/>
              </w:rPr>
              <w:lastRenderedPageBreak/>
              <w:t>Brailleschrift und in leicht lesbarer und verständlicher Form anzubringen;</w:t>
            </w:r>
          </w:p>
          <w:p w:rsidR="00F60EE5" w:rsidRPr="00F60EE5" w:rsidRDefault="00F60EE5" w:rsidP="00F60EE5">
            <w:pPr>
              <w:numPr>
                <w:ilvl w:val="0"/>
                <w:numId w:val="15"/>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 xml:space="preserve">um menschliche und tierische Hilfe sowie Mittelspersonen, unter anderem Personen zum Führen und Vorlesen sowie professionelle Gebärdensprachdolmetscher und </w:t>
            </w:r>
            <w:r w:rsidRPr="00F60EE5">
              <w:rPr>
                <w:rFonts w:eastAsia="Times New Roman" w:cstheme="minorHAnsi"/>
                <w:lang w:eastAsia="de-DE"/>
              </w:rPr>
              <w:noBreakHyphen/>
              <w:t>dolmetscherinnen, zur Verfügung zu stellen mit dem Ziel, den Zugang zu Gebäuden und anderen Einrichtungen, die der Öffentlichkeit offenstehen, zu erleichtern;</w:t>
            </w:r>
          </w:p>
          <w:p w:rsidR="00F60EE5" w:rsidRPr="00F60EE5" w:rsidRDefault="00F60EE5" w:rsidP="00F60EE5">
            <w:pPr>
              <w:numPr>
                <w:ilvl w:val="0"/>
                <w:numId w:val="15"/>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um andere geeignete Formen der Hilfe und Unterstützung für Menschen mit Behinderungen zu fördern, damit ihr Zugang zu Informationen gewährleistet wird;</w:t>
            </w:r>
          </w:p>
          <w:p w:rsidR="00F60EE5" w:rsidRPr="00F60EE5" w:rsidRDefault="00F60EE5" w:rsidP="00F60EE5">
            <w:pPr>
              <w:numPr>
                <w:ilvl w:val="0"/>
                <w:numId w:val="15"/>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 xml:space="preserve">um den Zugang von Menschen mit Behinderungen zu den neuen Informations- und Kommunikationstechnologien </w:t>
            </w:r>
            <w:r w:rsidRPr="00F60EE5">
              <w:rPr>
                <w:rFonts w:eastAsia="Times New Roman" w:cstheme="minorHAnsi"/>
                <w:lang w:eastAsia="de-DE"/>
              </w:rPr>
              <w:lastRenderedPageBreak/>
              <w:t xml:space="preserve">und </w:t>
            </w:r>
            <w:r w:rsidRPr="00F60EE5">
              <w:rPr>
                <w:rFonts w:eastAsia="Times New Roman" w:cstheme="minorHAnsi"/>
                <w:lang w:eastAsia="de-DE"/>
              </w:rPr>
              <w:noBreakHyphen/>
              <w:t>systemen, einschließlich des Internets, zu fördern;</w:t>
            </w:r>
          </w:p>
          <w:p w:rsidR="00F60EE5" w:rsidRPr="00F60EE5" w:rsidRDefault="00F60EE5" w:rsidP="00F60EE5">
            <w:pPr>
              <w:numPr>
                <w:ilvl w:val="0"/>
                <w:numId w:val="15"/>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 xml:space="preserve">um die Gestaltung, die Entwicklung, die Herstellung und den Vertrieb zugänglicher Informations- und Kommunikationstechnologien und </w:t>
            </w:r>
            <w:r w:rsidRPr="00F60EE5">
              <w:rPr>
                <w:rFonts w:eastAsia="Times New Roman" w:cstheme="minorHAnsi"/>
                <w:lang w:eastAsia="de-DE"/>
              </w:rPr>
              <w:noBreakHyphen/>
              <w:t>systeme in einem frühen Stadium zu fördern, sodass deren Zugänglichkeit mit möglichst geringem Kostenaufwand erreicht wird.</w:t>
            </w:r>
          </w:p>
          <w:p w:rsidR="00624668" w:rsidRPr="00624668" w:rsidRDefault="00624668" w:rsidP="00546ED8">
            <w:pPr>
              <w:rPr>
                <w:b/>
                <w:color w:val="C45911" w:themeColor="accent2" w:themeShade="BF"/>
              </w:rPr>
            </w:pPr>
          </w:p>
        </w:tc>
        <w:tc>
          <w:tcPr>
            <w:tcW w:w="1081" w:type="dxa"/>
          </w:tcPr>
          <w:p w:rsidR="00624668" w:rsidRPr="00624668" w:rsidRDefault="00624668" w:rsidP="00546ED8">
            <w:pPr>
              <w:rPr>
                <w:b/>
                <w:color w:val="C45911" w:themeColor="accent2" w:themeShade="BF"/>
              </w:rPr>
            </w:pPr>
          </w:p>
        </w:tc>
        <w:tc>
          <w:tcPr>
            <w:tcW w:w="1045" w:type="dxa"/>
          </w:tcPr>
          <w:p w:rsidR="00624668" w:rsidRPr="00624668" w:rsidRDefault="00624668" w:rsidP="00546ED8">
            <w:pPr>
              <w:rPr>
                <w:b/>
                <w:color w:val="C45911" w:themeColor="accent2" w:themeShade="BF"/>
              </w:rPr>
            </w:pPr>
          </w:p>
        </w:tc>
      </w:tr>
    </w:tbl>
    <w:p w:rsidR="00624668" w:rsidRDefault="00624668" w:rsidP="006E1F44">
      <w:pPr>
        <w:spacing w:line="276" w:lineRule="auto"/>
      </w:pPr>
    </w:p>
    <w:p w:rsidR="00F60EE5" w:rsidRPr="00C2031D" w:rsidRDefault="00F60EE5" w:rsidP="00F60EE5">
      <w:pPr>
        <w:spacing w:line="360" w:lineRule="auto"/>
        <w:ind w:right="567"/>
        <w:rPr>
          <w:rFonts w:ascii="Calibri" w:hAnsi="Calibri" w:cs="Calibri"/>
          <w:b/>
          <w:color w:val="BF8F00" w:themeColor="accent4" w:themeShade="BF"/>
          <w:sz w:val="60"/>
          <w:szCs w:val="60"/>
        </w:rPr>
      </w:pPr>
      <w:r w:rsidRPr="00C2031D">
        <w:rPr>
          <w:rFonts w:ascii="Calibri" w:hAnsi="Calibri" w:cs="Calibri"/>
          <w:b/>
          <w:color w:val="BF8F00" w:themeColor="accent4" w:themeShade="BF"/>
          <w:sz w:val="60"/>
          <w:szCs w:val="60"/>
        </w:rPr>
        <w:t>R.E.S.P.E.K.T</w:t>
      </w:r>
    </w:p>
    <w:p w:rsidR="00F60EE5" w:rsidRPr="001D108D" w:rsidRDefault="00F60EE5" w:rsidP="001D108D">
      <w:pPr>
        <w:pStyle w:val="Listenabsatz"/>
        <w:numPr>
          <w:ilvl w:val="0"/>
          <w:numId w:val="4"/>
        </w:numPr>
        <w:spacing w:line="360" w:lineRule="auto"/>
        <w:ind w:right="567"/>
        <w:rPr>
          <w:rFonts w:ascii="Calibri" w:hAnsi="Calibri" w:cs="Calibri"/>
          <w:b/>
          <w:bCs/>
          <w:color w:val="BF8F00" w:themeColor="accent4" w:themeShade="BF"/>
        </w:rPr>
      </w:pPr>
      <w:r w:rsidRPr="001D108D">
        <w:rPr>
          <w:rFonts w:ascii="Calibri" w:hAnsi="Calibri" w:cs="Calibri"/>
          <w:b/>
          <w:bCs/>
          <w:color w:val="BF8F00" w:themeColor="accent4" w:themeShade="BF"/>
        </w:rPr>
        <w:t>Anerkennung und Wertschätzung</w:t>
      </w:r>
    </w:p>
    <w:p w:rsidR="00F60EE5" w:rsidRDefault="00F60EE5" w:rsidP="00F60EE5">
      <w:pPr>
        <w:spacing w:line="360" w:lineRule="auto"/>
        <w:ind w:right="567"/>
        <w:rPr>
          <w:rFonts w:ascii="Calibri" w:hAnsi="Calibri" w:cs="Calibri"/>
          <w:b/>
          <w:bCs/>
          <w:color w:val="BF8F00" w:themeColor="accent4" w:themeShade="BF"/>
        </w:rPr>
      </w:pPr>
      <w:r w:rsidRPr="77FBAD48">
        <w:rPr>
          <w:rFonts w:ascii="Calibri" w:hAnsi="Calibri" w:cs="Calibri"/>
          <w:b/>
          <w:bCs/>
          <w:color w:val="BF8F00" w:themeColor="accent4" w:themeShade="BF"/>
        </w:rPr>
        <w:t>Auch wenn es eigentlich eine Selbstverständlichkeit im Umgang untereinander sein sollte: Die fehlende Anerkennung und Wertschätzung des ehrenamtlichen Engagements ist ein häufig genannter Kritikpunkt von Aktiven in der Selbstvertretung. Wertschätzende Kommunikation</w:t>
      </w:r>
      <w:r>
        <w:rPr>
          <w:rFonts w:ascii="Calibri" w:hAnsi="Calibri" w:cs="Calibri"/>
          <w:b/>
          <w:bCs/>
          <w:color w:val="BF8F00" w:themeColor="accent4" w:themeShade="BF"/>
        </w:rPr>
        <w:t>, ein</w:t>
      </w:r>
      <w:r w:rsidRPr="77FBAD48">
        <w:rPr>
          <w:rFonts w:ascii="Calibri" w:hAnsi="Calibri" w:cs="Calibri"/>
          <w:b/>
          <w:bCs/>
          <w:color w:val="BF8F00" w:themeColor="accent4" w:themeShade="BF"/>
        </w:rPr>
        <w:t xml:space="preserve"> konstruktiver Austausch auch bei unterschiedlichen Bedürfnissen, Ansichten und das regelmäßige Reflektieren der eigenen Position sind Fragen der Übung und wesentlicher Teil eines gelingenden partizipativen Prozesses. </w:t>
      </w:r>
    </w:p>
    <w:p w:rsidR="00F60EE5" w:rsidRDefault="00F60EE5" w:rsidP="00F60EE5">
      <w:pPr>
        <w:spacing w:line="360" w:lineRule="auto"/>
        <w:ind w:right="567"/>
        <w:rPr>
          <w:rFonts w:ascii="Calibri" w:hAnsi="Calibri" w:cs="Calibri"/>
          <w:b/>
          <w:bCs/>
          <w:color w:val="BF8F00" w:themeColor="accent4" w:themeShade="BF"/>
        </w:rPr>
      </w:pPr>
    </w:p>
    <w:tbl>
      <w:tblPr>
        <w:tblStyle w:val="Tabellenraster"/>
        <w:tblW w:w="15187" w:type="dxa"/>
        <w:tblLook w:val="04A0" w:firstRow="1" w:lastRow="0" w:firstColumn="1" w:lastColumn="0" w:noHBand="0" w:noVBand="1"/>
      </w:tblPr>
      <w:tblGrid>
        <w:gridCol w:w="1989"/>
        <w:gridCol w:w="6271"/>
        <w:gridCol w:w="4801"/>
        <w:gridCol w:w="1081"/>
        <w:gridCol w:w="1045"/>
      </w:tblGrid>
      <w:tr w:rsidR="00F60EE5" w:rsidRPr="00624668" w:rsidTr="00546ED8">
        <w:trPr>
          <w:trHeight w:val="1231"/>
        </w:trPr>
        <w:tc>
          <w:tcPr>
            <w:tcW w:w="1989" w:type="dxa"/>
          </w:tcPr>
          <w:p w:rsidR="00F60EE5" w:rsidRPr="00F60EE5" w:rsidRDefault="00F60EE5" w:rsidP="00546ED8">
            <w:pPr>
              <w:rPr>
                <w:b/>
                <w:color w:val="BF8F00" w:themeColor="accent4" w:themeShade="BF"/>
              </w:rPr>
            </w:pPr>
            <w:r w:rsidRPr="00F60EE5">
              <w:rPr>
                <w:b/>
                <w:color w:val="BF8F00" w:themeColor="accent4" w:themeShade="BF"/>
              </w:rPr>
              <w:lastRenderedPageBreak/>
              <w:t>Aspekt</w:t>
            </w:r>
          </w:p>
          <w:p w:rsidR="00F60EE5" w:rsidRPr="00F60EE5" w:rsidRDefault="00F60EE5" w:rsidP="00546ED8">
            <w:pPr>
              <w:rPr>
                <w:b/>
                <w:color w:val="BF8F00" w:themeColor="accent4" w:themeShade="BF"/>
              </w:rPr>
            </w:pPr>
          </w:p>
        </w:tc>
        <w:tc>
          <w:tcPr>
            <w:tcW w:w="6271" w:type="dxa"/>
          </w:tcPr>
          <w:p w:rsidR="00F60EE5" w:rsidRPr="00F60EE5" w:rsidRDefault="00F60EE5" w:rsidP="00546ED8">
            <w:pPr>
              <w:spacing w:line="276" w:lineRule="auto"/>
              <w:rPr>
                <w:b/>
                <w:color w:val="BF8F00" w:themeColor="accent4" w:themeShade="BF"/>
              </w:rPr>
            </w:pPr>
            <w:r w:rsidRPr="00F60EE5">
              <w:rPr>
                <w:b/>
                <w:color w:val="BF8F00" w:themeColor="accent4" w:themeShade="BF"/>
              </w:rPr>
              <w:t>Leitfragen</w:t>
            </w:r>
          </w:p>
        </w:tc>
        <w:tc>
          <w:tcPr>
            <w:tcW w:w="4801" w:type="dxa"/>
          </w:tcPr>
          <w:p w:rsidR="00F60EE5" w:rsidRPr="00F60EE5" w:rsidRDefault="00F60EE5" w:rsidP="00546ED8">
            <w:pPr>
              <w:rPr>
                <w:b/>
                <w:color w:val="BF8F00" w:themeColor="accent4" w:themeShade="BF"/>
              </w:rPr>
            </w:pPr>
            <w:r w:rsidRPr="00F60EE5">
              <w:rPr>
                <w:b/>
                <w:color w:val="BF8F00" w:themeColor="accent4" w:themeShade="BF"/>
              </w:rPr>
              <w:t>Rechtlicher Bezug</w:t>
            </w:r>
          </w:p>
        </w:tc>
        <w:tc>
          <w:tcPr>
            <w:tcW w:w="1081" w:type="dxa"/>
          </w:tcPr>
          <w:p w:rsidR="00F60EE5" w:rsidRPr="00F60EE5" w:rsidRDefault="00F60EE5" w:rsidP="00546ED8">
            <w:pPr>
              <w:rPr>
                <w:b/>
                <w:color w:val="BF8F00" w:themeColor="accent4" w:themeShade="BF"/>
              </w:rPr>
            </w:pPr>
            <w:r w:rsidRPr="00F60EE5">
              <w:rPr>
                <w:b/>
                <w:color w:val="BF8F00" w:themeColor="accent4" w:themeShade="BF"/>
              </w:rPr>
              <w:t>Setzen wir bereits um</w:t>
            </w:r>
          </w:p>
        </w:tc>
        <w:tc>
          <w:tcPr>
            <w:tcW w:w="1045" w:type="dxa"/>
          </w:tcPr>
          <w:p w:rsidR="00F60EE5" w:rsidRPr="00F60EE5" w:rsidRDefault="00F60EE5" w:rsidP="00546ED8">
            <w:pPr>
              <w:rPr>
                <w:b/>
                <w:color w:val="BF8F00" w:themeColor="accent4" w:themeShade="BF"/>
              </w:rPr>
            </w:pPr>
            <w:r w:rsidRPr="00F60EE5">
              <w:rPr>
                <w:b/>
                <w:color w:val="BF8F00" w:themeColor="accent4" w:themeShade="BF"/>
              </w:rPr>
              <w:t>Setzen wir noch nicht um</w:t>
            </w:r>
          </w:p>
        </w:tc>
      </w:tr>
      <w:tr w:rsidR="00F60EE5" w:rsidRPr="00F60EE5" w:rsidTr="00546ED8">
        <w:trPr>
          <w:trHeight w:val="1231"/>
        </w:trPr>
        <w:tc>
          <w:tcPr>
            <w:tcW w:w="1989" w:type="dxa"/>
          </w:tcPr>
          <w:p w:rsidR="00F60EE5" w:rsidRPr="00F60EE5" w:rsidRDefault="00F60EE5" w:rsidP="00F60EE5">
            <w:pPr>
              <w:spacing w:line="360" w:lineRule="auto"/>
              <w:rPr>
                <w:rFonts w:cstheme="minorHAnsi"/>
              </w:rPr>
            </w:pPr>
            <w:r w:rsidRPr="00F60EE5">
              <w:rPr>
                <w:rFonts w:cstheme="minorHAnsi"/>
              </w:rPr>
              <w:t>Anerkennung und Wertschätzung</w:t>
            </w:r>
          </w:p>
        </w:tc>
        <w:tc>
          <w:tcPr>
            <w:tcW w:w="6271" w:type="dxa"/>
          </w:tcPr>
          <w:p w:rsidR="00F60EE5" w:rsidRPr="00F60EE5" w:rsidRDefault="00F60EE5" w:rsidP="00F60EE5">
            <w:pPr>
              <w:pStyle w:val="Listenabsatz"/>
              <w:numPr>
                <w:ilvl w:val="0"/>
                <w:numId w:val="16"/>
              </w:numPr>
              <w:spacing w:line="360" w:lineRule="auto"/>
              <w:ind w:right="567"/>
              <w:rPr>
                <w:rFonts w:eastAsiaTheme="minorEastAsia" w:cstheme="minorHAnsi"/>
              </w:rPr>
            </w:pPr>
            <w:r w:rsidRPr="00F60EE5">
              <w:rPr>
                <w:rFonts w:cstheme="minorHAnsi"/>
              </w:rPr>
              <w:t>Wir der Bezeichnung „Expert*innen in eigener Sache“ Gültigkeit verschafft, indem ein defizitorientiertes Denken durch eine Wertschätzung der individuellen Möglichkeiten, Eigenschaften und Talente ersetzt wird?</w:t>
            </w:r>
          </w:p>
          <w:p w:rsidR="00F60EE5" w:rsidRPr="00F60EE5" w:rsidRDefault="00F60EE5" w:rsidP="00F60EE5">
            <w:pPr>
              <w:pStyle w:val="Listenabsatz"/>
              <w:numPr>
                <w:ilvl w:val="0"/>
                <w:numId w:val="16"/>
              </w:numPr>
              <w:spacing w:line="360" w:lineRule="auto"/>
              <w:ind w:right="567"/>
              <w:rPr>
                <w:rFonts w:eastAsiaTheme="minorEastAsia" w:cstheme="minorHAnsi"/>
              </w:rPr>
            </w:pPr>
            <w:r w:rsidRPr="00F60EE5">
              <w:rPr>
                <w:rFonts w:cstheme="minorHAnsi"/>
              </w:rPr>
              <w:t xml:space="preserve">Werden stigmatisierende Vorurteile vermieden und das klassische Fürsorgeparadigma durch den Selbstvertretungsanspruch abgelöst? Das bedeutet, dass die Betroffenen sowohl als Personen als auch in ihrer Rolle als Interessenvertreter*in ernst genommen werden. Wird eine Begegnung auf Augenhöhe ist bewusst angestrebt? </w:t>
            </w:r>
          </w:p>
          <w:p w:rsidR="00F60EE5" w:rsidRPr="00F60EE5" w:rsidRDefault="00F60EE5" w:rsidP="00F60EE5">
            <w:pPr>
              <w:pStyle w:val="Listenabsatz"/>
              <w:numPr>
                <w:ilvl w:val="0"/>
                <w:numId w:val="16"/>
              </w:numPr>
              <w:spacing w:line="360" w:lineRule="auto"/>
              <w:ind w:right="567"/>
              <w:rPr>
                <w:rFonts w:cstheme="minorHAnsi"/>
              </w:rPr>
            </w:pPr>
            <w:r w:rsidRPr="00F60EE5">
              <w:rPr>
                <w:rFonts w:cstheme="minorHAnsi"/>
              </w:rPr>
              <w:t xml:space="preserve">Werden inhaltliche Erfolge und fachliche Kompetenzen anerkannt, um einer mangelnden gesellschaftlichen Wertschätzung und persönlicher Demotivation vorzubeugen? </w:t>
            </w:r>
          </w:p>
          <w:p w:rsidR="00F60EE5" w:rsidRPr="00F60EE5" w:rsidRDefault="00F60EE5" w:rsidP="00F60EE5">
            <w:pPr>
              <w:spacing w:line="360" w:lineRule="auto"/>
              <w:jc w:val="both"/>
              <w:rPr>
                <w:rFonts w:cstheme="minorHAnsi"/>
                <w:b/>
              </w:rPr>
            </w:pPr>
          </w:p>
        </w:tc>
        <w:tc>
          <w:tcPr>
            <w:tcW w:w="4801" w:type="dxa"/>
          </w:tcPr>
          <w:p w:rsidR="00F60EE5" w:rsidRPr="00F60EE5" w:rsidRDefault="00F60EE5" w:rsidP="00E86199">
            <w:pPr>
              <w:spacing w:before="100" w:beforeAutospacing="1" w:after="100" w:afterAutospacing="1" w:line="360" w:lineRule="auto"/>
              <w:rPr>
                <w:rFonts w:eastAsia="Times New Roman" w:cstheme="minorHAnsi"/>
                <w:lang w:eastAsia="de-DE"/>
              </w:rPr>
            </w:pPr>
          </w:p>
          <w:p w:rsidR="00F60EE5" w:rsidRPr="00F60EE5" w:rsidRDefault="00F60EE5" w:rsidP="00F60EE5">
            <w:pPr>
              <w:tabs>
                <w:tab w:val="left" w:pos="940"/>
              </w:tabs>
              <w:spacing w:line="360" w:lineRule="auto"/>
              <w:rPr>
                <w:rFonts w:cstheme="minorHAnsi"/>
              </w:rPr>
            </w:pPr>
          </w:p>
        </w:tc>
        <w:tc>
          <w:tcPr>
            <w:tcW w:w="1081" w:type="dxa"/>
          </w:tcPr>
          <w:p w:rsidR="00F60EE5" w:rsidRPr="00F60EE5" w:rsidRDefault="00F60EE5" w:rsidP="00F60EE5">
            <w:pPr>
              <w:spacing w:line="360" w:lineRule="auto"/>
              <w:rPr>
                <w:rFonts w:cstheme="minorHAnsi"/>
                <w:b/>
              </w:rPr>
            </w:pPr>
          </w:p>
        </w:tc>
        <w:tc>
          <w:tcPr>
            <w:tcW w:w="1045" w:type="dxa"/>
          </w:tcPr>
          <w:p w:rsidR="00F60EE5" w:rsidRPr="00F60EE5" w:rsidRDefault="00F60EE5" w:rsidP="00F60EE5">
            <w:pPr>
              <w:spacing w:line="360" w:lineRule="auto"/>
              <w:rPr>
                <w:rFonts w:cstheme="minorHAnsi"/>
                <w:b/>
              </w:rPr>
            </w:pPr>
          </w:p>
        </w:tc>
      </w:tr>
    </w:tbl>
    <w:p w:rsidR="00F60EE5" w:rsidRPr="00F60EE5" w:rsidRDefault="00F60EE5" w:rsidP="00F60EE5">
      <w:pPr>
        <w:spacing w:line="360" w:lineRule="auto"/>
        <w:ind w:right="567"/>
        <w:rPr>
          <w:rFonts w:cstheme="minorHAnsi"/>
          <w:b/>
          <w:bCs/>
          <w:color w:val="BF8F00" w:themeColor="accent4" w:themeShade="BF"/>
        </w:rPr>
      </w:pPr>
    </w:p>
    <w:p w:rsidR="001D108D" w:rsidRPr="001D108D" w:rsidRDefault="001D108D" w:rsidP="001D108D">
      <w:pPr>
        <w:pStyle w:val="Listenabsatz"/>
        <w:numPr>
          <w:ilvl w:val="0"/>
          <w:numId w:val="4"/>
        </w:numPr>
        <w:spacing w:line="360" w:lineRule="auto"/>
        <w:ind w:right="567"/>
        <w:jc w:val="both"/>
        <w:rPr>
          <w:rFonts w:ascii="Calibri" w:hAnsi="Calibri" w:cs="Calibri"/>
          <w:b/>
          <w:color w:val="BF8F00" w:themeColor="accent4" w:themeShade="BF"/>
        </w:rPr>
      </w:pPr>
      <w:r w:rsidRPr="001D108D">
        <w:rPr>
          <w:rFonts w:ascii="Calibri" w:hAnsi="Calibri" w:cs="Calibri"/>
          <w:b/>
          <w:color w:val="BF8F00" w:themeColor="accent4" w:themeShade="BF"/>
        </w:rPr>
        <w:t>Unterstützungs-, Anerkennungs- und Entlastungsmöglichkeiten für die ehrenamtliche Vertretungsarbeit</w:t>
      </w:r>
      <w:r w:rsidRPr="001D108D">
        <w:rPr>
          <w:rFonts w:ascii="Calibri" w:hAnsi="Calibri" w:cs="Calibri"/>
          <w:b/>
          <w:color w:val="BF8F00" w:themeColor="accent4" w:themeShade="BF"/>
        </w:rPr>
        <w:tab/>
      </w:r>
    </w:p>
    <w:p w:rsidR="001D108D" w:rsidRPr="00C2031D" w:rsidRDefault="001D108D" w:rsidP="001D108D">
      <w:pPr>
        <w:spacing w:after="0" w:line="360" w:lineRule="auto"/>
        <w:ind w:right="567"/>
        <w:jc w:val="both"/>
        <w:rPr>
          <w:rFonts w:ascii="Calibri" w:hAnsi="Calibri" w:cs="Calibri"/>
          <w:b/>
          <w:bCs/>
          <w:color w:val="BF8F00" w:themeColor="accent4" w:themeShade="BF"/>
        </w:rPr>
      </w:pPr>
      <w:r w:rsidRPr="00C2031D">
        <w:rPr>
          <w:rFonts w:ascii="Calibri" w:hAnsi="Calibri" w:cs="Calibri"/>
          <w:b/>
          <w:bCs/>
          <w:color w:val="BF8F00" w:themeColor="accent4" w:themeShade="BF"/>
        </w:rPr>
        <w:lastRenderedPageBreak/>
        <w:t>Diejenigen, die sich in Interessenvertretungen engagieren, machen dies in vielen Fällen mit einem großen Einsatz von zeitlichen und auch finanziellen Ressourcen. Teils weite Anfahrten und Assistenzkosten werden aus der eigenen Tasche gezahlt. Dabei profitiert die Kommune, profitieren viele Bürger*innen von ihrem Einsatz. Dies sollte sich in der Unterstützung widerspiegeln.</w:t>
      </w:r>
    </w:p>
    <w:p w:rsidR="00F60EE5" w:rsidRDefault="00F60EE5" w:rsidP="00F60EE5">
      <w:pPr>
        <w:spacing w:line="360" w:lineRule="auto"/>
        <w:rPr>
          <w:rFonts w:cstheme="minorHAnsi"/>
        </w:rPr>
      </w:pPr>
    </w:p>
    <w:tbl>
      <w:tblPr>
        <w:tblStyle w:val="Tabellenraster"/>
        <w:tblW w:w="15187" w:type="dxa"/>
        <w:tblLook w:val="04A0" w:firstRow="1" w:lastRow="0" w:firstColumn="1" w:lastColumn="0" w:noHBand="0" w:noVBand="1"/>
      </w:tblPr>
      <w:tblGrid>
        <w:gridCol w:w="1989"/>
        <w:gridCol w:w="6271"/>
        <w:gridCol w:w="4801"/>
        <w:gridCol w:w="1081"/>
        <w:gridCol w:w="1045"/>
      </w:tblGrid>
      <w:tr w:rsidR="007C2484" w:rsidRPr="00F60EE5" w:rsidTr="00546ED8">
        <w:trPr>
          <w:trHeight w:val="1231"/>
        </w:trPr>
        <w:tc>
          <w:tcPr>
            <w:tcW w:w="1989" w:type="dxa"/>
          </w:tcPr>
          <w:p w:rsidR="007C2484" w:rsidRPr="00F60EE5" w:rsidRDefault="007C2484" w:rsidP="00546ED8">
            <w:pPr>
              <w:rPr>
                <w:b/>
                <w:color w:val="BF8F00" w:themeColor="accent4" w:themeShade="BF"/>
              </w:rPr>
            </w:pPr>
            <w:r w:rsidRPr="00F60EE5">
              <w:rPr>
                <w:b/>
                <w:color w:val="BF8F00" w:themeColor="accent4" w:themeShade="BF"/>
              </w:rPr>
              <w:t>Aspekt</w:t>
            </w:r>
          </w:p>
          <w:p w:rsidR="007C2484" w:rsidRPr="00F60EE5" w:rsidRDefault="007C2484" w:rsidP="00546ED8">
            <w:pPr>
              <w:rPr>
                <w:b/>
                <w:color w:val="BF8F00" w:themeColor="accent4" w:themeShade="BF"/>
              </w:rPr>
            </w:pPr>
          </w:p>
        </w:tc>
        <w:tc>
          <w:tcPr>
            <w:tcW w:w="6271" w:type="dxa"/>
          </w:tcPr>
          <w:p w:rsidR="007C2484" w:rsidRPr="00F60EE5" w:rsidRDefault="007C2484" w:rsidP="00546ED8">
            <w:pPr>
              <w:spacing w:line="276" w:lineRule="auto"/>
              <w:rPr>
                <w:b/>
                <w:color w:val="BF8F00" w:themeColor="accent4" w:themeShade="BF"/>
              </w:rPr>
            </w:pPr>
            <w:r w:rsidRPr="00F60EE5">
              <w:rPr>
                <w:b/>
                <w:color w:val="BF8F00" w:themeColor="accent4" w:themeShade="BF"/>
              </w:rPr>
              <w:t>Leitfragen</w:t>
            </w:r>
          </w:p>
        </w:tc>
        <w:tc>
          <w:tcPr>
            <w:tcW w:w="4801" w:type="dxa"/>
          </w:tcPr>
          <w:p w:rsidR="007C2484" w:rsidRPr="00F60EE5" w:rsidRDefault="007C2484" w:rsidP="00546ED8">
            <w:pPr>
              <w:rPr>
                <w:b/>
                <w:color w:val="BF8F00" w:themeColor="accent4" w:themeShade="BF"/>
              </w:rPr>
            </w:pPr>
            <w:r w:rsidRPr="00F60EE5">
              <w:rPr>
                <w:b/>
                <w:color w:val="BF8F00" w:themeColor="accent4" w:themeShade="BF"/>
              </w:rPr>
              <w:t>Rechtlicher Bezug</w:t>
            </w:r>
          </w:p>
        </w:tc>
        <w:tc>
          <w:tcPr>
            <w:tcW w:w="1081" w:type="dxa"/>
          </w:tcPr>
          <w:p w:rsidR="007C2484" w:rsidRPr="00F60EE5" w:rsidRDefault="007C2484" w:rsidP="00546ED8">
            <w:pPr>
              <w:rPr>
                <w:b/>
                <w:color w:val="BF8F00" w:themeColor="accent4" w:themeShade="BF"/>
              </w:rPr>
            </w:pPr>
            <w:r w:rsidRPr="00F60EE5">
              <w:rPr>
                <w:b/>
                <w:color w:val="BF8F00" w:themeColor="accent4" w:themeShade="BF"/>
              </w:rPr>
              <w:t>Setzen wir bereits um</w:t>
            </w:r>
          </w:p>
        </w:tc>
        <w:tc>
          <w:tcPr>
            <w:tcW w:w="1045" w:type="dxa"/>
          </w:tcPr>
          <w:p w:rsidR="007C2484" w:rsidRPr="00F60EE5" w:rsidRDefault="007C2484" w:rsidP="00546ED8">
            <w:pPr>
              <w:rPr>
                <w:b/>
                <w:color w:val="BF8F00" w:themeColor="accent4" w:themeShade="BF"/>
              </w:rPr>
            </w:pPr>
            <w:r w:rsidRPr="00F60EE5">
              <w:rPr>
                <w:b/>
                <w:color w:val="BF8F00" w:themeColor="accent4" w:themeShade="BF"/>
              </w:rPr>
              <w:t>Setzen wir noch nicht um</w:t>
            </w:r>
          </w:p>
        </w:tc>
      </w:tr>
      <w:tr w:rsidR="007C2484" w:rsidRPr="00F60EE5" w:rsidTr="00546ED8">
        <w:trPr>
          <w:trHeight w:val="1231"/>
        </w:trPr>
        <w:tc>
          <w:tcPr>
            <w:tcW w:w="1989" w:type="dxa"/>
          </w:tcPr>
          <w:p w:rsidR="007C2484" w:rsidRPr="00F60EE5" w:rsidRDefault="007C2484" w:rsidP="00546ED8">
            <w:pPr>
              <w:rPr>
                <w:b/>
                <w:color w:val="BF8F00" w:themeColor="accent4" w:themeShade="BF"/>
              </w:rPr>
            </w:pPr>
          </w:p>
        </w:tc>
        <w:tc>
          <w:tcPr>
            <w:tcW w:w="6271" w:type="dxa"/>
          </w:tcPr>
          <w:p w:rsidR="007C2484" w:rsidRPr="007C2484" w:rsidRDefault="007C2484" w:rsidP="007C2484">
            <w:pPr>
              <w:pStyle w:val="Listenabsatz"/>
              <w:numPr>
                <w:ilvl w:val="0"/>
                <w:numId w:val="13"/>
              </w:numPr>
              <w:spacing w:after="160" w:line="360" w:lineRule="auto"/>
              <w:ind w:right="567"/>
              <w:rPr>
                <w:rFonts w:ascii="Calibri" w:hAnsi="Calibri" w:cs="Calibri"/>
                <w:color w:val="C45911" w:themeColor="accent2" w:themeShade="BF"/>
              </w:rPr>
            </w:pPr>
            <w:r w:rsidRPr="007C2484">
              <w:rPr>
                <w:rFonts w:ascii="Calibri" w:hAnsi="Calibri" w:cs="Calibri"/>
                <w:color w:val="BF8F00" w:themeColor="accent4" w:themeShade="BF"/>
              </w:rPr>
              <w:t>Wird die Finanzierung jeglicher Assistenzbedarfe darüber hinaus als selbstverständliche Leistung der Kommune betrachtet und transparent vermittelt, um eine barrierefreie Partizipation sicherzustellen?</w:t>
            </w:r>
            <w:r>
              <w:rPr>
                <w:rFonts w:ascii="Calibri" w:hAnsi="Calibri" w:cs="Calibri"/>
                <w:color w:val="C45911" w:themeColor="accent2" w:themeShade="BF"/>
              </w:rPr>
              <w:br/>
            </w:r>
          </w:p>
          <w:p w:rsidR="007C2484" w:rsidRPr="007C2484" w:rsidRDefault="007C2484" w:rsidP="007C2484">
            <w:pPr>
              <w:pStyle w:val="Listenabsatz"/>
              <w:numPr>
                <w:ilvl w:val="0"/>
                <w:numId w:val="13"/>
              </w:numPr>
              <w:spacing w:after="160" w:line="360" w:lineRule="auto"/>
              <w:ind w:right="567"/>
              <w:rPr>
                <w:rFonts w:ascii="Calibri" w:hAnsi="Calibri" w:cs="Calibri"/>
                <w:color w:val="BF8F00" w:themeColor="accent4" w:themeShade="BF"/>
              </w:rPr>
            </w:pPr>
            <w:r w:rsidRPr="007C2484">
              <w:rPr>
                <w:rFonts w:ascii="Calibri" w:hAnsi="Calibri" w:cs="Calibri"/>
                <w:color w:val="BF8F00" w:themeColor="accent4" w:themeShade="BF"/>
              </w:rPr>
              <w:t>Besteht ein Anspruch auf Nachteilsausgleich neben der Aufwandsentschädigung. Sprich: Erhalten die Mitglieder der Interessensvertretung die gleiche Aufwandsentschädigung wie Mitglieder anderer kommunaler Gremien und bei Bedarf behinderungsbedingte Nachteilsausgleiche*?</w:t>
            </w:r>
          </w:p>
          <w:p w:rsidR="007C2484" w:rsidRPr="007C2484" w:rsidRDefault="007C2484" w:rsidP="007C2484">
            <w:pPr>
              <w:spacing w:line="360" w:lineRule="auto"/>
              <w:ind w:left="360" w:right="567"/>
              <w:rPr>
                <w:rFonts w:ascii="Calibri" w:hAnsi="Calibri" w:cs="Calibri"/>
                <w:color w:val="BF8F00" w:themeColor="accent4" w:themeShade="BF"/>
                <w:sz w:val="18"/>
                <w:szCs w:val="18"/>
              </w:rPr>
            </w:pPr>
            <w:r w:rsidRPr="007C2484">
              <w:rPr>
                <w:rFonts w:ascii="Calibri" w:hAnsi="Calibri" w:cs="Calibri"/>
                <w:color w:val="BF8F00" w:themeColor="accent4" w:themeShade="BF"/>
                <w:sz w:val="18"/>
                <w:szCs w:val="18"/>
              </w:rPr>
              <w:t xml:space="preserve">*Nachteilsausgleiche können benötigt werden, damit ein aktives Einbringen erst möglich wird: persönliche Assistenz, z.B. bei körperlichen Einschränkungen, Übersetzungen in Leichte Sprache und/oder die Begleitung durch eine Verstehensassistenz bei </w:t>
            </w:r>
            <w:r w:rsidRPr="007C2484">
              <w:rPr>
                <w:rFonts w:ascii="Calibri" w:hAnsi="Calibri" w:cs="Calibri"/>
                <w:color w:val="BF8F00" w:themeColor="accent4" w:themeShade="BF"/>
                <w:sz w:val="18"/>
                <w:szCs w:val="18"/>
              </w:rPr>
              <w:lastRenderedPageBreak/>
              <w:t xml:space="preserve">Lernschwierigkeiten, Gebärdensprachdolmetschung für Gehörlose, technische Hörhilfen für Schwerhörige, zusätzlicher Kostenersatz, z.B. für besondere Behinderten-Fahrdienste, Übertragungen der Sitzungsmaterialien in barrierefreie Dokumente. </w:t>
            </w:r>
          </w:p>
          <w:p w:rsidR="007C2484" w:rsidRPr="009B350E" w:rsidRDefault="007C2484" w:rsidP="007C2484">
            <w:pPr>
              <w:spacing w:line="360" w:lineRule="auto"/>
              <w:ind w:left="360" w:right="567"/>
              <w:rPr>
                <w:rFonts w:ascii="Calibri" w:hAnsi="Calibri" w:cs="Calibri"/>
                <w:color w:val="C45911" w:themeColor="accent2" w:themeShade="BF"/>
                <w:sz w:val="18"/>
                <w:szCs w:val="18"/>
              </w:rPr>
            </w:pPr>
          </w:p>
          <w:p w:rsidR="007C2484" w:rsidRPr="00C2031D" w:rsidRDefault="007C2484" w:rsidP="007C2484">
            <w:pPr>
              <w:pStyle w:val="Listenabsatz"/>
              <w:numPr>
                <w:ilvl w:val="0"/>
                <w:numId w:val="19"/>
              </w:numPr>
              <w:spacing w:line="360" w:lineRule="auto"/>
              <w:textAlignment w:val="baseline"/>
              <w:rPr>
                <w:rFonts w:ascii="Calibri" w:eastAsia="Times New Roman" w:hAnsi="Calibri" w:cs="Calibri"/>
                <w:color w:val="BF8F00" w:themeColor="accent4" w:themeShade="BF"/>
                <w:lang w:eastAsia="de-DE"/>
              </w:rPr>
            </w:pPr>
            <w:r>
              <w:rPr>
                <w:rFonts w:ascii="Calibri" w:eastAsia="Times New Roman" w:hAnsi="Calibri" w:cs="Calibri"/>
                <w:color w:val="BF8F00" w:themeColor="accent4" w:themeShade="BF"/>
                <w:lang w:eastAsia="de-DE"/>
              </w:rPr>
              <w:t>Wird die</w:t>
            </w:r>
            <w:r w:rsidRPr="77FBAD48">
              <w:rPr>
                <w:rFonts w:ascii="Calibri" w:eastAsia="Times New Roman" w:hAnsi="Calibri" w:cs="Calibri"/>
                <w:color w:val="BF8F00" w:themeColor="accent4" w:themeShade="BF"/>
                <w:lang w:eastAsia="de-DE"/>
              </w:rPr>
              <w:t xml:space="preserve"> Arbeit einer offiziellen Interessenvertretung von Menschen mit Behinderung</w:t>
            </w:r>
            <w:r>
              <w:rPr>
                <w:rFonts w:ascii="Calibri" w:eastAsia="Times New Roman" w:hAnsi="Calibri" w:cs="Calibri"/>
                <w:color w:val="BF8F00" w:themeColor="accent4" w:themeShade="BF"/>
                <w:lang w:eastAsia="de-DE"/>
              </w:rPr>
              <w:t xml:space="preserve">en und chronischen Erkrankungen </w:t>
            </w:r>
            <w:r w:rsidRPr="77FBAD48">
              <w:rPr>
                <w:rFonts w:ascii="Calibri" w:eastAsia="Times New Roman" w:hAnsi="Calibri" w:cs="Calibri"/>
                <w:color w:val="BF8F00" w:themeColor="accent4" w:themeShade="BF"/>
                <w:lang w:eastAsia="de-DE"/>
              </w:rPr>
              <w:t>in gleichem M</w:t>
            </w:r>
            <w:r>
              <w:rPr>
                <w:rFonts w:ascii="Calibri" w:eastAsia="Times New Roman" w:hAnsi="Calibri" w:cs="Calibri"/>
                <w:color w:val="BF8F00" w:themeColor="accent4" w:themeShade="BF"/>
                <w:lang w:eastAsia="de-DE"/>
              </w:rPr>
              <w:t>aße unterstützt und entschädigt</w:t>
            </w:r>
            <w:r w:rsidRPr="77FBAD48">
              <w:rPr>
                <w:rFonts w:ascii="Calibri" w:eastAsia="Times New Roman" w:hAnsi="Calibri" w:cs="Calibri"/>
                <w:color w:val="BF8F00" w:themeColor="accent4" w:themeShade="BF"/>
                <w:lang w:eastAsia="de-DE"/>
              </w:rPr>
              <w:t xml:space="preserve">, wie die in vergleichbaren politischen Gremien (z.B. den Fachausschüssen). </w:t>
            </w:r>
            <w:r>
              <w:rPr>
                <w:rFonts w:ascii="Calibri" w:eastAsia="Times New Roman" w:hAnsi="Calibri" w:cs="Calibri"/>
                <w:color w:val="BF8F00" w:themeColor="accent4" w:themeShade="BF"/>
                <w:lang w:eastAsia="de-DE"/>
              </w:rPr>
              <w:t>Wird so auch a</w:t>
            </w:r>
            <w:r w:rsidRPr="77FBAD48">
              <w:rPr>
                <w:rFonts w:ascii="Calibri" w:eastAsia="Times New Roman" w:hAnsi="Calibri" w:cs="Calibri"/>
                <w:color w:val="BF8F00" w:themeColor="accent4" w:themeShade="BF"/>
                <w:lang w:eastAsia="de-DE"/>
              </w:rPr>
              <w:t>uf diese Weise die Interessenvertretung als wichtiger und gleichberechtigter Bestandteil der kommunalen poli</w:t>
            </w:r>
            <w:r>
              <w:rPr>
                <w:rFonts w:ascii="Calibri" w:eastAsia="Times New Roman" w:hAnsi="Calibri" w:cs="Calibri"/>
                <w:color w:val="BF8F00" w:themeColor="accent4" w:themeShade="BF"/>
                <w:lang w:eastAsia="de-DE"/>
              </w:rPr>
              <w:t>tischen Struktur wertgeschätzt?</w:t>
            </w:r>
            <w:r w:rsidR="00F22989">
              <w:rPr>
                <w:rFonts w:ascii="Calibri" w:eastAsia="Times New Roman" w:hAnsi="Calibri" w:cs="Calibri"/>
                <w:color w:val="BF8F00" w:themeColor="accent4" w:themeShade="BF"/>
                <w:lang w:eastAsia="de-DE"/>
              </w:rPr>
              <w:br/>
            </w:r>
          </w:p>
          <w:p w:rsidR="007C2484" w:rsidRPr="00C2031D" w:rsidRDefault="007C2484" w:rsidP="007C2484">
            <w:pPr>
              <w:pStyle w:val="Listenabsatz"/>
              <w:numPr>
                <w:ilvl w:val="0"/>
                <w:numId w:val="19"/>
              </w:numPr>
              <w:spacing w:line="360" w:lineRule="auto"/>
              <w:textAlignment w:val="baseline"/>
              <w:rPr>
                <w:rFonts w:ascii="Calibri" w:eastAsia="Times New Roman" w:hAnsi="Calibri" w:cs="Calibri"/>
                <w:color w:val="BF8F00" w:themeColor="accent4" w:themeShade="BF"/>
                <w:lang w:eastAsia="de-DE"/>
              </w:rPr>
            </w:pPr>
            <w:r>
              <w:rPr>
                <w:rFonts w:ascii="Calibri" w:eastAsia="Times New Roman" w:hAnsi="Calibri" w:cs="Calibri"/>
                <w:color w:val="BF8F00" w:themeColor="accent4" w:themeShade="BF"/>
                <w:lang w:eastAsia="de-DE"/>
              </w:rPr>
              <w:t>Wird die</w:t>
            </w:r>
            <w:r w:rsidRPr="77FBAD48">
              <w:rPr>
                <w:rFonts w:ascii="Calibri" w:eastAsia="Times New Roman" w:hAnsi="Calibri" w:cs="Calibri"/>
                <w:color w:val="BF8F00" w:themeColor="accent4" w:themeShade="BF"/>
                <w:lang w:eastAsia="de-DE"/>
              </w:rPr>
              <w:t xml:space="preserve"> vorbereitende Arbeit in Arbeitskreisen analog zur Fraktionsarbeit und deren Arbeitskreisen entschädigt</w:t>
            </w:r>
            <w:r>
              <w:rPr>
                <w:rFonts w:ascii="Calibri" w:eastAsia="Times New Roman" w:hAnsi="Calibri" w:cs="Calibri"/>
                <w:color w:val="BF8F00" w:themeColor="accent4" w:themeShade="BF"/>
                <w:lang w:eastAsia="de-DE"/>
              </w:rPr>
              <w:t>?</w:t>
            </w:r>
            <w:r w:rsidR="00F22989">
              <w:rPr>
                <w:rFonts w:ascii="Calibri" w:eastAsia="Times New Roman" w:hAnsi="Calibri" w:cs="Calibri"/>
                <w:color w:val="BF8F00" w:themeColor="accent4" w:themeShade="BF"/>
                <w:lang w:eastAsia="de-DE"/>
              </w:rPr>
              <w:br/>
            </w:r>
          </w:p>
          <w:p w:rsidR="007C2484" w:rsidRPr="00C2031D" w:rsidRDefault="007C2484" w:rsidP="007C2484">
            <w:pPr>
              <w:pStyle w:val="Listenabsatz"/>
              <w:numPr>
                <w:ilvl w:val="0"/>
                <w:numId w:val="19"/>
              </w:numPr>
              <w:spacing w:line="360" w:lineRule="auto"/>
              <w:ind w:right="567"/>
              <w:jc w:val="both"/>
              <w:rPr>
                <w:rFonts w:ascii="Calibri" w:hAnsi="Calibri" w:cs="Calibri"/>
                <w:color w:val="BF8F00" w:themeColor="accent4" w:themeShade="BF"/>
              </w:rPr>
            </w:pPr>
            <w:r>
              <w:rPr>
                <w:rFonts w:ascii="Calibri" w:hAnsi="Calibri" w:cs="Calibri"/>
                <w:color w:val="BF8F00" w:themeColor="accent4" w:themeShade="BF"/>
              </w:rPr>
              <w:t>Wird</w:t>
            </w:r>
            <w:r w:rsidRPr="77FBAD48">
              <w:rPr>
                <w:rFonts w:ascii="Calibri" w:hAnsi="Calibri" w:cs="Calibri"/>
                <w:color w:val="BF8F00" w:themeColor="accent4" w:themeShade="BF"/>
              </w:rPr>
              <w:t xml:space="preserve"> Interessenvertreter*innen </w:t>
            </w:r>
            <w:r>
              <w:rPr>
                <w:rFonts w:ascii="Calibri" w:hAnsi="Calibri" w:cs="Calibri"/>
                <w:color w:val="BF8F00" w:themeColor="accent4" w:themeShade="BF"/>
              </w:rPr>
              <w:t>ermöglicht, sich fort- bzw. w</w:t>
            </w:r>
            <w:r w:rsidRPr="77FBAD48">
              <w:rPr>
                <w:rFonts w:ascii="Calibri" w:hAnsi="Calibri" w:cs="Calibri"/>
                <w:color w:val="BF8F00" w:themeColor="accent4" w:themeShade="BF"/>
              </w:rPr>
              <w:t>eiterzubilden, um zu einer Professionalisierung der Vertretungsarbeit beizu</w:t>
            </w:r>
            <w:r>
              <w:rPr>
                <w:rFonts w:ascii="Calibri" w:hAnsi="Calibri" w:cs="Calibri"/>
                <w:color w:val="BF8F00" w:themeColor="accent4" w:themeShade="BF"/>
              </w:rPr>
              <w:t>tragen?</w:t>
            </w:r>
          </w:p>
          <w:p w:rsidR="007C2484" w:rsidRPr="00F60EE5" w:rsidRDefault="007C2484" w:rsidP="00546ED8">
            <w:pPr>
              <w:spacing w:line="276" w:lineRule="auto"/>
              <w:rPr>
                <w:b/>
                <w:color w:val="BF8F00" w:themeColor="accent4" w:themeShade="BF"/>
              </w:rPr>
            </w:pPr>
          </w:p>
        </w:tc>
        <w:tc>
          <w:tcPr>
            <w:tcW w:w="4801" w:type="dxa"/>
          </w:tcPr>
          <w:p w:rsidR="007C2484" w:rsidRPr="00F60EE5" w:rsidRDefault="007C2484" w:rsidP="00546ED8">
            <w:pPr>
              <w:rPr>
                <w:b/>
                <w:color w:val="BF8F00" w:themeColor="accent4" w:themeShade="BF"/>
              </w:rPr>
            </w:pPr>
          </w:p>
        </w:tc>
        <w:tc>
          <w:tcPr>
            <w:tcW w:w="1081" w:type="dxa"/>
          </w:tcPr>
          <w:p w:rsidR="007C2484" w:rsidRPr="00F60EE5" w:rsidRDefault="007C2484" w:rsidP="00546ED8">
            <w:pPr>
              <w:rPr>
                <w:b/>
                <w:color w:val="BF8F00" w:themeColor="accent4" w:themeShade="BF"/>
              </w:rPr>
            </w:pPr>
          </w:p>
        </w:tc>
        <w:tc>
          <w:tcPr>
            <w:tcW w:w="1045" w:type="dxa"/>
          </w:tcPr>
          <w:p w:rsidR="007C2484" w:rsidRPr="00F60EE5" w:rsidRDefault="007C2484" w:rsidP="00546ED8">
            <w:pPr>
              <w:rPr>
                <w:b/>
                <w:color w:val="BF8F00" w:themeColor="accent4" w:themeShade="BF"/>
              </w:rPr>
            </w:pPr>
          </w:p>
        </w:tc>
      </w:tr>
    </w:tbl>
    <w:p w:rsidR="007C2484" w:rsidRPr="00546ED8" w:rsidRDefault="007C2484" w:rsidP="00F60EE5">
      <w:pPr>
        <w:spacing w:line="360" w:lineRule="auto"/>
        <w:rPr>
          <w:rFonts w:cstheme="minorHAnsi"/>
          <w:sz w:val="40"/>
          <w:szCs w:val="40"/>
        </w:rPr>
      </w:pPr>
    </w:p>
    <w:p w:rsidR="00546ED8" w:rsidRPr="00546ED8" w:rsidRDefault="00546ED8" w:rsidP="00546ED8">
      <w:pPr>
        <w:spacing w:line="360" w:lineRule="auto"/>
        <w:ind w:right="567"/>
        <w:jc w:val="both"/>
        <w:rPr>
          <w:rFonts w:ascii="Calibri" w:hAnsi="Calibri" w:cs="Calibri"/>
          <w:b/>
          <w:color w:val="7030A0"/>
          <w:sz w:val="40"/>
          <w:szCs w:val="40"/>
        </w:rPr>
      </w:pPr>
      <w:r w:rsidRPr="00546ED8">
        <w:rPr>
          <w:rFonts w:ascii="Calibri" w:hAnsi="Calibri" w:cs="Calibri"/>
          <w:b/>
          <w:color w:val="7030A0"/>
          <w:sz w:val="40"/>
          <w:szCs w:val="40"/>
        </w:rPr>
        <w:lastRenderedPageBreak/>
        <w:t>SICHTBARKEIT</w:t>
      </w:r>
    </w:p>
    <w:p w:rsidR="00546ED8" w:rsidRPr="00546ED8" w:rsidRDefault="00546ED8" w:rsidP="00546ED8">
      <w:pPr>
        <w:spacing w:line="360" w:lineRule="auto"/>
        <w:ind w:right="567"/>
        <w:rPr>
          <w:rFonts w:ascii="Calibri" w:hAnsi="Calibri" w:cs="Calibri"/>
          <w:color w:val="7030A0"/>
        </w:rPr>
      </w:pPr>
      <w:r w:rsidRPr="00546ED8">
        <w:rPr>
          <w:rFonts w:ascii="Calibri" w:hAnsi="Calibri" w:cs="Calibri"/>
          <w:b/>
          <w:bCs/>
          <w:color w:val="7030A0"/>
        </w:rPr>
        <w:t xml:space="preserve">Ein großer Teil des Engagements von Aktiven in den Interessenvertretungen, aber auch viele Maßnahmen und Fortschritte der Kommunen werden teils wenig kommuniziert. Eine größere Sichtbarkeit käme dabei allen zugute. Die Kommune könnte zeigen, was sie leistet und die Interessenvertretungen würden bekannter, Menschen würden sie als Anlaufstelle wahrnehmen, sich möglicherweise selbst beteiligen und den partizipativen Prozess ankurbeln. Die Sichtbarkeit der Arbeit der Kommune zu Inklusion wirkt zudem bewusstseinsbildend und sensibilisierend auf die Allgemeinheit. </w:t>
      </w:r>
      <w:r w:rsidRPr="00546ED8">
        <w:rPr>
          <w:rFonts w:ascii="Calibri" w:hAnsi="Calibri" w:cs="Calibri"/>
          <w:b/>
          <w:color w:val="7030A0"/>
        </w:rPr>
        <w:t>Bewusstseinsbildende Methoden und Aktionen können Vorurteile abbauen, Diskriminierungen bekämpfen, Selbsterfahrungen und Rollenübernahmen ermöglichen, direkte persönliche Kontakte auf Augenhöhe etablieren und die starren Grenzen zwischen „normal“ und „behindert“ auflösen.</w:t>
      </w:r>
      <w:r w:rsidRPr="00546ED8">
        <w:rPr>
          <w:rFonts w:ascii="Calibri" w:hAnsi="Calibri" w:cs="Calibri"/>
          <w:color w:val="7030A0"/>
        </w:rPr>
        <w:t xml:space="preserve"> </w:t>
      </w:r>
    </w:p>
    <w:p w:rsidR="00546ED8" w:rsidRPr="00C2031D" w:rsidRDefault="00546ED8" w:rsidP="00546ED8">
      <w:pPr>
        <w:spacing w:line="360" w:lineRule="auto"/>
        <w:ind w:right="567"/>
        <w:jc w:val="both"/>
        <w:rPr>
          <w:rFonts w:ascii="Calibri" w:hAnsi="Calibri" w:cs="Calibri"/>
          <w:b/>
          <w:bCs/>
          <w:color w:val="7030A0"/>
        </w:rPr>
      </w:pPr>
    </w:p>
    <w:p w:rsidR="00546ED8" w:rsidRDefault="00546ED8" w:rsidP="00F60EE5">
      <w:pPr>
        <w:spacing w:line="360" w:lineRule="auto"/>
        <w:rPr>
          <w:rFonts w:cstheme="minorHAnsi"/>
        </w:rPr>
      </w:pPr>
    </w:p>
    <w:tbl>
      <w:tblPr>
        <w:tblStyle w:val="Tabellenraster"/>
        <w:tblW w:w="15187" w:type="dxa"/>
        <w:tblLook w:val="04A0" w:firstRow="1" w:lastRow="0" w:firstColumn="1" w:lastColumn="0" w:noHBand="0" w:noVBand="1"/>
      </w:tblPr>
      <w:tblGrid>
        <w:gridCol w:w="1989"/>
        <w:gridCol w:w="6271"/>
        <w:gridCol w:w="4801"/>
        <w:gridCol w:w="1081"/>
        <w:gridCol w:w="1045"/>
      </w:tblGrid>
      <w:tr w:rsidR="00546ED8" w:rsidRPr="00546ED8" w:rsidTr="00546ED8">
        <w:trPr>
          <w:trHeight w:val="1231"/>
        </w:trPr>
        <w:tc>
          <w:tcPr>
            <w:tcW w:w="1989" w:type="dxa"/>
          </w:tcPr>
          <w:p w:rsidR="00546ED8" w:rsidRPr="00546ED8" w:rsidRDefault="00546ED8" w:rsidP="00546ED8">
            <w:pPr>
              <w:rPr>
                <w:b/>
                <w:color w:val="7030A0"/>
              </w:rPr>
            </w:pPr>
            <w:r w:rsidRPr="00546ED8">
              <w:rPr>
                <w:b/>
                <w:color w:val="7030A0"/>
              </w:rPr>
              <w:t>Aspekt</w:t>
            </w:r>
          </w:p>
          <w:p w:rsidR="00546ED8" w:rsidRPr="00546ED8" w:rsidRDefault="00546ED8" w:rsidP="00546ED8">
            <w:pPr>
              <w:rPr>
                <w:b/>
                <w:color w:val="7030A0"/>
              </w:rPr>
            </w:pPr>
          </w:p>
        </w:tc>
        <w:tc>
          <w:tcPr>
            <w:tcW w:w="6271" w:type="dxa"/>
          </w:tcPr>
          <w:p w:rsidR="00546ED8" w:rsidRPr="00546ED8" w:rsidRDefault="00546ED8" w:rsidP="00546ED8">
            <w:pPr>
              <w:spacing w:line="276" w:lineRule="auto"/>
              <w:rPr>
                <w:b/>
                <w:color w:val="7030A0"/>
              </w:rPr>
            </w:pPr>
            <w:r w:rsidRPr="00546ED8">
              <w:rPr>
                <w:b/>
                <w:color w:val="7030A0"/>
              </w:rPr>
              <w:t>Leitfragen</w:t>
            </w:r>
          </w:p>
        </w:tc>
        <w:tc>
          <w:tcPr>
            <w:tcW w:w="4801" w:type="dxa"/>
          </w:tcPr>
          <w:p w:rsidR="00546ED8" w:rsidRPr="00546ED8" w:rsidRDefault="00546ED8" w:rsidP="00546ED8">
            <w:pPr>
              <w:rPr>
                <w:b/>
                <w:color w:val="7030A0"/>
              </w:rPr>
            </w:pPr>
            <w:r w:rsidRPr="00546ED8">
              <w:rPr>
                <w:b/>
                <w:color w:val="7030A0"/>
              </w:rPr>
              <w:t>Rechtlicher Bezug</w:t>
            </w:r>
          </w:p>
        </w:tc>
        <w:tc>
          <w:tcPr>
            <w:tcW w:w="1081" w:type="dxa"/>
          </w:tcPr>
          <w:p w:rsidR="00546ED8" w:rsidRPr="00546ED8" w:rsidRDefault="00546ED8" w:rsidP="00546ED8">
            <w:pPr>
              <w:rPr>
                <w:b/>
                <w:color w:val="7030A0"/>
              </w:rPr>
            </w:pPr>
            <w:r w:rsidRPr="00546ED8">
              <w:rPr>
                <w:b/>
                <w:color w:val="7030A0"/>
              </w:rPr>
              <w:t>Setzen wir bereits um</w:t>
            </w:r>
          </w:p>
        </w:tc>
        <w:tc>
          <w:tcPr>
            <w:tcW w:w="1045" w:type="dxa"/>
          </w:tcPr>
          <w:p w:rsidR="00546ED8" w:rsidRPr="00546ED8" w:rsidRDefault="00546ED8" w:rsidP="00546ED8">
            <w:pPr>
              <w:rPr>
                <w:b/>
                <w:color w:val="7030A0"/>
              </w:rPr>
            </w:pPr>
            <w:r w:rsidRPr="00546ED8">
              <w:rPr>
                <w:b/>
                <w:color w:val="7030A0"/>
              </w:rPr>
              <w:t>Setzen wir noch nicht um</w:t>
            </w:r>
          </w:p>
        </w:tc>
      </w:tr>
      <w:tr w:rsidR="00546ED8" w:rsidRPr="00546ED8" w:rsidTr="00546ED8">
        <w:trPr>
          <w:trHeight w:val="1231"/>
        </w:trPr>
        <w:tc>
          <w:tcPr>
            <w:tcW w:w="1989" w:type="dxa"/>
          </w:tcPr>
          <w:p w:rsidR="00546ED8" w:rsidRPr="00546ED8" w:rsidRDefault="00546ED8" w:rsidP="00546ED8">
            <w:pPr>
              <w:rPr>
                <w:b/>
                <w:color w:val="7030A0"/>
              </w:rPr>
            </w:pPr>
            <w:r>
              <w:rPr>
                <w:b/>
                <w:color w:val="7030A0"/>
              </w:rPr>
              <w:t>Sichtbarkeit</w:t>
            </w:r>
          </w:p>
        </w:tc>
        <w:tc>
          <w:tcPr>
            <w:tcW w:w="6271" w:type="dxa"/>
          </w:tcPr>
          <w:p w:rsidR="00546ED8" w:rsidRPr="00C2031D" w:rsidRDefault="00546ED8" w:rsidP="00546ED8">
            <w:pPr>
              <w:pStyle w:val="Listenabsatz"/>
              <w:numPr>
                <w:ilvl w:val="0"/>
                <w:numId w:val="20"/>
              </w:numPr>
              <w:spacing w:line="360" w:lineRule="auto"/>
              <w:ind w:right="567"/>
              <w:jc w:val="both"/>
              <w:rPr>
                <w:rFonts w:ascii="Calibri" w:hAnsi="Calibri" w:cs="Calibri"/>
                <w:color w:val="7030A0"/>
              </w:rPr>
            </w:pPr>
            <w:r>
              <w:rPr>
                <w:rFonts w:ascii="Calibri" w:hAnsi="Calibri" w:cs="Calibri"/>
                <w:color w:val="7030A0"/>
              </w:rPr>
              <w:t>Unterstützt die Kommune bzw. die kommunale Pressestelle</w:t>
            </w:r>
            <w:r w:rsidRPr="77FBAD48">
              <w:rPr>
                <w:rFonts w:ascii="Calibri" w:hAnsi="Calibri" w:cs="Calibri"/>
                <w:color w:val="7030A0"/>
              </w:rPr>
              <w:t xml:space="preserve"> die Interessenvertretung</w:t>
            </w:r>
            <w:r>
              <w:rPr>
                <w:rFonts w:ascii="Calibri" w:hAnsi="Calibri" w:cs="Calibri"/>
                <w:color w:val="7030A0"/>
              </w:rPr>
              <w:t xml:space="preserve"> in ihrer Öffentlichkeitsarbeit?</w:t>
            </w:r>
          </w:p>
          <w:p w:rsidR="00546ED8" w:rsidRDefault="00546ED8" w:rsidP="00546ED8">
            <w:pPr>
              <w:pStyle w:val="Listenabsatz"/>
              <w:numPr>
                <w:ilvl w:val="0"/>
                <w:numId w:val="20"/>
              </w:numPr>
              <w:spacing w:line="360" w:lineRule="auto"/>
              <w:ind w:right="567"/>
              <w:jc w:val="both"/>
              <w:rPr>
                <w:rFonts w:ascii="Calibri" w:hAnsi="Calibri" w:cs="Calibri"/>
                <w:color w:val="7030A0"/>
              </w:rPr>
            </w:pPr>
            <w:r>
              <w:rPr>
                <w:rFonts w:ascii="Calibri" w:hAnsi="Calibri" w:cs="Calibri"/>
                <w:color w:val="7030A0"/>
              </w:rPr>
              <w:t xml:space="preserve">Werden Maßnahmen der Sensibilisierung, </w:t>
            </w:r>
            <w:r w:rsidRPr="77FBAD48">
              <w:rPr>
                <w:rFonts w:ascii="Calibri" w:hAnsi="Calibri" w:cs="Calibri"/>
                <w:color w:val="7030A0"/>
              </w:rPr>
              <w:t xml:space="preserve">Bewusstseinsbildung und durch eine aktive Öffentlichkeitsarbeit </w:t>
            </w:r>
            <w:r>
              <w:rPr>
                <w:rFonts w:ascii="Calibri" w:hAnsi="Calibri" w:cs="Calibri"/>
                <w:color w:val="7030A0"/>
              </w:rPr>
              <w:t>getroffen, d</w:t>
            </w:r>
            <w:r w:rsidRPr="77FBAD48">
              <w:rPr>
                <w:rFonts w:ascii="Calibri" w:hAnsi="Calibri" w:cs="Calibri"/>
                <w:color w:val="7030A0"/>
              </w:rPr>
              <w:t xml:space="preserve">ie bestehende </w:t>
            </w:r>
            <w:r w:rsidRPr="77FBAD48">
              <w:rPr>
                <w:rFonts w:ascii="Calibri" w:hAnsi="Calibri" w:cs="Calibri"/>
                <w:color w:val="7030A0"/>
              </w:rPr>
              <w:lastRenderedPageBreak/>
              <w:t xml:space="preserve">gesellschaftliche Wahrnehmung von Menschen mit Behinderungen und chronischen Erkrankungen </w:t>
            </w:r>
            <w:r>
              <w:rPr>
                <w:rFonts w:ascii="Calibri" w:hAnsi="Calibri" w:cs="Calibri"/>
                <w:color w:val="7030A0"/>
              </w:rPr>
              <w:t>verbessern?</w:t>
            </w:r>
          </w:p>
          <w:p w:rsidR="00546ED8" w:rsidRPr="00C2031D" w:rsidRDefault="00546ED8" w:rsidP="00546ED8">
            <w:pPr>
              <w:pStyle w:val="Listenabsatz"/>
              <w:numPr>
                <w:ilvl w:val="0"/>
                <w:numId w:val="20"/>
              </w:numPr>
              <w:spacing w:line="360" w:lineRule="auto"/>
              <w:ind w:right="567"/>
              <w:jc w:val="both"/>
              <w:rPr>
                <w:rFonts w:ascii="Calibri" w:hAnsi="Calibri" w:cs="Calibri"/>
                <w:color w:val="7030A0"/>
              </w:rPr>
            </w:pPr>
            <w:r>
              <w:rPr>
                <w:rFonts w:ascii="Calibri" w:hAnsi="Calibri" w:cs="Calibri"/>
                <w:color w:val="7030A0"/>
              </w:rPr>
              <w:t>Wird auch bei der Öffentlichkeitsarbeit bereits die barrierefreie Zugänglichkeit mitgedacht?</w:t>
            </w:r>
          </w:p>
          <w:p w:rsidR="00546ED8" w:rsidRPr="00C2031D" w:rsidRDefault="00546ED8" w:rsidP="00546ED8">
            <w:pPr>
              <w:pStyle w:val="Listenabsatz"/>
              <w:numPr>
                <w:ilvl w:val="0"/>
                <w:numId w:val="20"/>
              </w:numPr>
              <w:spacing w:line="360" w:lineRule="auto"/>
              <w:ind w:right="567"/>
              <w:jc w:val="both"/>
              <w:rPr>
                <w:rFonts w:ascii="Calibri" w:hAnsi="Calibri" w:cs="Calibri"/>
                <w:color w:val="7030A0"/>
              </w:rPr>
            </w:pPr>
            <w:r>
              <w:rPr>
                <w:rFonts w:ascii="Calibri" w:hAnsi="Calibri" w:cs="Calibri"/>
                <w:color w:val="7030A0"/>
              </w:rPr>
              <w:t xml:space="preserve">Stimmen sich die unterschiedlichen </w:t>
            </w:r>
            <w:r w:rsidRPr="00C2031D">
              <w:rPr>
                <w:rFonts w:ascii="Calibri" w:hAnsi="Calibri" w:cs="Calibri"/>
                <w:color w:val="7030A0"/>
              </w:rPr>
              <w:t xml:space="preserve">Interessenvertretungen inhaltlich und zeitlich </w:t>
            </w:r>
            <w:r>
              <w:rPr>
                <w:rFonts w:ascii="Calibri" w:hAnsi="Calibri" w:cs="Calibri"/>
                <w:color w:val="7030A0"/>
              </w:rPr>
              <w:t>in ihrer</w:t>
            </w:r>
            <w:r w:rsidRPr="00C2031D">
              <w:rPr>
                <w:rFonts w:ascii="Calibri" w:hAnsi="Calibri" w:cs="Calibri"/>
                <w:color w:val="7030A0"/>
              </w:rPr>
              <w:t xml:space="preserve"> Öffentlichkeitsarbeit </w:t>
            </w:r>
            <w:r>
              <w:rPr>
                <w:rFonts w:ascii="Calibri" w:hAnsi="Calibri" w:cs="Calibri"/>
                <w:color w:val="7030A0"/>
              </w:rPr>
              <w:t>ab und unterstützen sich gegenseitig?</w:t>
            </w:r>
          </w:p>
          <w:p w:rsidR="00546ED8" w:rsidRPr="00C2031D" w:rsidRDefault="00546ED8" w:rsidP="00546ED8">
            <w:pPr>
              <w:pStyle w:val="Listenabsatz"/>
              <w:numPr>
                <w:ilvl w:val="0"/>
                <w:numId w:val="20"/>
              </w:numPr>
              <w:spacing w:line="360" w:lineRule="auto"/>
              <w:ind w:right="567"/>
              <w:jc w:val="both"/>
              <w:rPr>
                <w:rFonts w:ascii="Calibri" w:hAnsi="Calibri" w:cs="Calibri"/>
                <w:color w:val="7030A0"/>
              </w:rPr>
            </w:pPr>
            <w:r>
              <w:rPr>
                <w:rFonts w:ascii="Calibri" w:hAnsi="Calibri" w:cs="Calibri"/>
                <w:color w:val="7030A0"/>
              </w:rPr>
              <w:t>Gibt es</w:t>
            </w:r>
            <w:r w:rsidRPr="00C2031D">
              <w:rPr>
                <w:rFonts w:ascii="Calibri" w:hAnsi="Calibri" w:cs="Calibri"/>
                <w:color w:val="7030A0"/>
              </w:rPr>
              <w:t xml:space="preserve"> Schulungen und Weiterbildungen für die Interessenvertreter*innen zum intensiven Gebrauch von öffentlichkeitswirksamen Maßnahmen und die Durchführungen von bewusstseinsbi</w:t>
            </w:r>
            <w:r>
              <w:rPr>
                <w:rFonts w:ascii="Calibri" w:hAnsi="Calibri" w:cs="Calibri"/>
                <w:color w:val="7030A0"/>
              </w:rPr>
              <w:t>ldenden Maßnahmen?</w:t>
            </w:r>
          </w:p>
          <w:p w:rsidR="00546ED8" w:rsidRPr="00546ED8" w:rsidRDefault="00546ED8" w:rsidP="00546ED8">
            <w:pPr>
              <w:spacing w:line="276" w:lineRule="auto"/>
              <w:rPr>
                <w:b/>
                <w:color w:val="7030A0"/>
              </w:rPr>
            </w:pPr>
          </w:p>
        </w:tc>
        <w:tc>
          <w:tcPr>
            <w:tcW w:w="4801" w:type="dxa"/>
          </w:tcPr>
          <w:p w:rsidR="00E86199" w:rsidRPr="00F60EE5" w:rsidRDefault="00E86199" w:rsidP="00E86199">
            <w:pPr>
              <w:pStyle w:val="StandardWeb"/>
              <w:spacing w:line="360" w:lineRule="auto"/>
              <w:rPr>
                <w:rFonts w:asciiTheme="minorHAnsi" w:hAnsiTheme="minorHAnsi" w:cstheme="minorHAnsi"/>
                <w:sz w:val="22"/>
                <w:szCs w:val="22"/>
              </w:rPr>
            </w:pPr>
            <w:r w:rsidRPr="00F60EE5">
              <w:rPr>
                <w:rFonts w:asciiTheme="minorHAnsi" w:hAnsiTheme="minorHAnsi" w:cstheme="minorHAnsi"/>
                <w:sz w:val="22"/>
                <w:szCs w:val="22"/>
              </w:rPr>
              <w:lastRenderedPageBreak/>
              <w:t>(1) Die Vertragsstaaten verpflichten sich, sofortige, wirksame und geeignete Maßnahmen zu ergreifen, um</w:t>
            </w:r>
          </w:p>
          <w:p w:rsidR="00E86199" w:rsidRPr="00F60EE5" w:rsidRDefault="00E86199" w:rsidP="00E86199">
            <w:pPr>
              <w:numPr>
                <w:ilvl w:val="0"/>
                <w:numId w:val="17"/>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 xml:space="preserve">in der gesamten Gesellschaft, einschließlich auf der Ebene der Familien, das Bewusstsein für Menschen mit </w:t>
            </w:r>
            <w:r w:rsidRPr="00F60EE5">
              <w:rPr>
                <w:rFonts w:eastAsia="Times New Roman" w:cstheme="minorHAnsi"/>
                <w:lang w:eastAsia="de-DE"/>
              </w:rPr>
              <w:lastRenderedPageBreak/>
              <w:t>Behinderungen zu schärfen und die Achtung ihrer Rechte und ihrer Würde zu fördern;</w:t>
            </w:r>
          </w:p>
          <w:p w:rsidR="00E86199" w:rsidRPr="00F60EE5" w:rsidRDefault="00E86199" w:rsidP="00E86199">
            <w:pPr>
              <w:numPr>
                <w:ilvl w:val="0"/>
                <w:numId w:val="17"/>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Klischees, Vorurteile und schädliche Praktiken gegenüber Menschen mit Behinderungen, einschließlich aufgrund des Geschlechts oder des Alters, in allen Lebensbereichen zu bekämpfen;</w:t>
            </w:r>
          </w:p>
          <w:p w:rsidR="00E86199" w:rsidRPr="00F60EE5" w:rsidRDefault="00E86199" w:rsidP="00E86199">
            <w:pPr>
              <w:numPr>
                <w:ilvl w:val="0"/>
                <w:numId w:val="17"/>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das Bewusstsein für die Fähigkeiten und den Beitrag von Menschen mit Behinderungen zu fördern.</w:t>
            </w:r>
          </w:p>
          <w:p w:rsidR="00E86199" w:rsidRPr="00F60EE5" w:rsidRDefault="00E86199" w:rsidP="00E86199">
            <w:p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(2) Zu den di</w:t>
            </w:r>
            <w:r>
              <w:rPr>
                <w:rFonts w:eastAsia="Times New Roman" w:cstheme="minorHAnsi"/>
                <w:lang w:eastAsia="de-DE"/>
              </w:rPr>
              <w:t>esbezüglichen Maßnahmen gehören</w:t>
            </w:r>
          </w:p>
          <w:p w:rsidR="00E86199" w:rsidRPr="00F60EE5" w:rsidRDefault="00E86199" w:rsidP="00E86199">
            <w:pPr>
              <w:numPr>
                <w:ilvl w:val="0"/>
                <w:numId w:val="18"/>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die Einleitung und dauerhafte Durchführung wirksamer Kampagnen zur Bewusstseinsbildung in der Öffentlichkeit mit dem Ziel, </w:t>
            </w:r>
          </w:p>
          <w:p w:rsidR="00E86199" w:rsidRPr="00F60EE5" w:rsidRDefault="00E86199" w:rsidP="00E86199">
            <w:pPr>
              <w:numPr>
                <w:ilvl w:val="1"/>
                <w:numId w:val="18"/>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die Aufgeschlossenheit gegenüber den Rechten von Menschen mit Behinderungen zu erhöhen,</w:t>
            </w:r>
          </w:p>
          <w:p w:rsidR="00E86199" w:rsidRPr="00F60EE5" w:rsidRDefault="00E86199" w:rsidP="00E86199">
            <w:pPr>
              <w:numPr>
                <w:ilvl w:val="1"/>
                <w:numId w:val="18"/>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 xml:space="preserve">eine positive Wahrnehmung von Menschen mit Behinderungen und </w:t>
            </w:r>
            <w:r w:rsidRPr="00F60EE5">
              <w:rPr>
                <w:rFonts w:eastAsia="Times New Roman" w:cstheme="minorHAnsi"/>
                <w:lang w:eastAsia="de-DE"/>
              </w:rPr>
              <w:lastRenderedPageBreak/>
              <w:t>ein größeres gesellschaftliches Bewusstsein ihnen gegenüber zu fördern,</w:t>
            </w:r>
          </w:p>
          <w:p w:rsidR="00E86199" w:rsidRPr="00F60EE5" w:rsidRDefault="00E86199" w:rsidP="00E86199">
            <w:pPr>
              <w:numPr>
                <w:ilvl w:val="1"/>
                <w:numId w:val="18"/>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die Anerkennung der Fertigkeiten, Verdienste und Fähigkeiten von Menschen mit Behinderungen und ihres Beitrags zur Arbeitswelt und zum Arbeitsmarkt zu fördern;</w:t>
            </w:r>
          </w:p>
          <w:p w:rsidR="00E86199" w:rsidRPr="00F60EE5" w:rsidRDefault="00E86199" w:rsidP="00E86199">
            <w:pPr>
              <w:numPr>
                <w:ilvl w:val="0"/>
                <w:numId w:val="18"/>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die Förderung einer respektvollen Einstellung gegenüber den Recht en von Menschen mit Behinderungen auf allen Ebenen des Bildungssystems, auch bei allen Kindern von früher Kindheit an;</w:t>
            </w:r>
          </w:p>
          <w:p w:rsidR="00E86199" w:rsidRPr="00F60EE5" w:rsidRDefault="00E86199" w:rsidP="00E86199">
            <w:pPr>
              <w:numPr>
                <w:ilvl w:val="0"/>
                <w:numId w:val="18"/>
              </w:numPr>
              <w:spacing w:before="100" w:beforeAutospacing="1" w:after="100" w:afterAutospacing="1" w:line="360" w:lineRule="auto"/>
              <w:rPr>
                <w:rFonts w:eastAsia="Times New Roman" w:cstheme="minorHAnsi"/>
                <w:lang w:eastAsia="de-DE"/>
              </w:rPr>
            </w:pPr>
            <w:r w:rsidRPr="00F60EE5">
              <w:rPr>
                <w:rFonts w:eastAsia="Times New Roman" w:cstheme="minorHAnsi"/>
                <w:lang w:eastAsia="de-DE"/>
              </w:rPr>
              <w:t>die Aufforderung an alle Medienorgane, Menschen mit Behinderungen in einer dem Zweck dieses Übereinkommens entsprechenden Weise darzustellen;</w:t>
            </w:r>
          </w:p>
          <w:p w:rsidR="00546ED8" w:rsidRDefault="00E86199" w:rsidP="00E86199">
            <w:pPr>
              <w:rPr>
                <w:rFonts w:eastAsia="Times New Roman" w:cstheme="minorHAnsi"/>
                <w:lang w:eastAsia="de-DE"/>
              </w:rPr>
            </w:pPr>
            <w:r w:rsidRPr="00F60EE5">
              <w:rPr>
                <w:rFonts w:eastAsia="Times New Roman" w:cstheme="minorHAnsi"/>
                <w:lang w:eastAsia="de-DE"/>
              </w:rPr>
              <w:t>die Förderung von Schulungsprogrammen zur Schärfung des Bewusstseins für Menschen mit Behinderungen und für deren Rechte.</w:t>
            </w:r>
          </w:p>
          <w:p w:rsidR="00E86199" w:rsidRDefault="00E86199" w:rsidP="00E86199">
            <w:pPr>
              <w:rPr>
                <w:rFonts w:eastAsia="Times New Roman" w:cstheme="minorHAnsi"/>
                <w:lang w:eastAsia="de-DE"/>
              </w:rPr>
            </w:pPr>
          </w:p>
          <w:p w:rsidR="00E86199" w:rsidRPr="00546ED8" w:rsidRDefault="00E86199" w:rsidP="00E86199">
            <w:pPr>
              <w:rPr>
                <w:b/>
                <w:color w:val="7030A0"/>
              </w:rPr>
            </w:pPr>
            <w:r>
              <w:rPr>
                <w:rFonts w:eastAsia="Times New Roman" w:cstheme="minorHAnsi"/>
                <w:lang w:eastAsia="de-DE"/>
              </w:rPr>
              <w:t>UN-BRK, Artikel 8</w:t>
            </w:r>
            <w:bookmarkStart w:id="0" w:name="_GoBack"/>
            <w:bookmarkEnd w:id="0"/>
          </w:p>
        </w:tc>
        <w:tc>
          <w:tcPr>
            <w:tcW w:w="1081" w:type="dxa"/>
          </w:tcPr>
          <w:p w:rsidR="00546ED8" w:rsidRPr="00546ED8" w:rsidRDefault="00546ED8" w:rsidP="00546ED8">
            <w:pPr>
              <w:rPr>
                <w:b/>
                <w:color w:val="7030A0"/>
              </w:rPr>
            </w:pPr>
          </w:p>
        </w:tc>
        <w:tc>
          <w:tcPr>
            <w:tcW w:w="1045" w:type="dxa"/>
          </w:tcPr>
          <w:p w:rsidR="00546ED8" w:rsidRPr="00546ED8" w:rsidRDefault="00546ED8" w:rsidP="00546ED8">
            <w:pPr>
              <w:rPr>
                <w:b/>
                <w:color w:val="7030A0"/>
              </w:rPr>
            </w:pPr>
          </w:p>
        </w:tc>
      </w:tr>
    </w:tbl>
    <w:p w:rsidR="00546ED8" w:rsidRPr="00546ED8" w:rsidRDefault="00546ED8" w:rsidP="00F60EE5">
      <w:pPr>
        <w:spacing w:line="360" w:lineRule="auto"/>
        <w:rPr>
          <w:rFonts w:cstheme="minorHAnsi"/>
          <w:color w:val="7030A0"/>
        </w:rPr>
      </w:pPr>
    </w:p>
    <w:sectPr w:rsidR="00546ED8" w:rsidRPr="00546ED8" w:rsidSect="00341F1F">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A6A"/>
    <w:multiLevelType w:val="multilevel"/>
    <w:tmpl w:val="895AB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F40C03"/>
    <w:multiLevelType w:val="hybridMultilevel"/>
    <w:tmpl w:val="F13C3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6103C3"/>
    <w:multiLevelType w:val="hybridMultilevel"/>
    <w:tmpl w:val="F774D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61273"/>
    <w:multiLevelType w:val="hybridMultilevel"/>
    <w:tmpl w:val="F9A49228"/>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2D5E7E"/>
    <w:multiLevelType w:val="hybridMultilevel"/>
    <w:tmpl w:val="BE0C8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2C22EF"/>
    <w:multiLevelType w:val="hybridMultilevel"/>
    <w:tmpl w:val="B25AA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443275"/>
    <w:multiLevelType w:val="hybridMultilevel"/>
    <w:tmpl w:val="D6D2B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304A98"/>
    <w:multiLevelType w:val="hybridMultilevel"/>
    <w:tmpl w:val="51D03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772D53"/>
    <w:multiLevelType w:val="hybridMultilevel"/>
    <w:tmpl w:val="F2404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5D7FD7"/>
    <w:multiLevelType w:val="multilevel"/>
    <w:tmpl w:val="42B0A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0C45CB"/>
    <w:multiLevelType w:val="multilevel"/>
    <w:tmpl w:val="A22E49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5CE3857"/>
    <w:multiLevelType w:val="hybridMultilevel"/>
    <w:tmpl w:val="3CAE73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7734A3"/>
    <w:multiLevelType w:val="hybridMultilevel"/>
    <w:tmpl w:val="06006B00"/>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F91DED"/>
    <w:multiLevelType w:val="multilevel"/>
    <w:tmpl w:val="65ECAC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EE163A1"/>
    <w:multiLevelType w:val="multilevel"/>
    <w:tmpl w:val="D66C8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AF52CE1"/>
    <w:multiLevelType w:val="hybridMultilevel"/>
    <w:tmpl w:val="17965014"/>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5413ED7"/>
    <w:multiLevelType w:val="hybridMultilevel"/>
    <w:tmpl w:val="23560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787A9C"/>
    <w:multiLevelType w:val="hybridMultilevel"/>
    <w:tmpl w:val="1242E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891214"/>
    <w:multiLevelType w:val="hybridMultilevel"/>
    <w:tmpl w:val="6D085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CF318C"/>
    <w:multiLevelType w:val="hybridMultilevel"/>
    <w:tmpl w:val="E6B2EDE4"/>
    <w:lvl w:ilvl="0" w:tplc="FFFFFFFF">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11"/>
  </w:num>
  <w:num w:numId="4">
    <w:abstractNumId w:val="15"/>
  </w:num>
  <w:num w:numId="5">
    <w:abstractNumId w:val="7"/>
  </w:num>
  <w:num w:numId="6">
    <w:abstractNumId w:val="1"/>
  </w:num>
  <w:num w:numId="7">
    <w:abstractNumId w:val="6"/>
  </w:num>
  <w:num w:numId="8">
    <w:abstractNumId w:val="5"/>
  </w:num>
  <w:num w:numId="9">
    <w:abstractNumId w:val="19"/>
  </w:num>
  <w:num w:numId="10">
    <w:abstractNumId w:val="8"/>
  </w:num>
  <w:num w:numId="11">
    <w:abstractNumId w:val="4"/>
  </w:num>
  <w:num w:numId="12">
    <w:abstractNumId w:val="10"/>
  </w:num>
  <w:num w:numId="13">
    <w:abstractNumId w:val="3"/>
  </w:num>
  <w:num w:numId="14">
    <w:abstractNumId w:val="14"/>
  </w:num>
  <w:num w:numId="15">
    <w:abstractNumId w:val="9"/>
  </w:num>
  <w:num w:numId="16">
    <w:abstractNumId w:val="12"/>
  </w:num>
  <w:num w:numId="17">
    <w:abstractNumId w:val="0"/>
  </w:num>
  <w:num w:numId="18">
    <w:abstractNumId w:val="13"/>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1F"/>
    <w:rsid w:val="000A58A8"/>
    <w:rsid w:val="0016325F"/>
    <w:rsid w:val="001D108D"/>
    <w:rsid w:val="002A1658"/>
    <w:rsid w:val="002A26C3"/>
    <w:rsid w:val="002C3874"/>
    <w:rsid w:val="002E5AF6"/>
    <w:rsid w:val="00341F1F"/>
    <w:rsid w:val="003426DC"/>
    <w:rsid w:val="003F7718"/>
    <w:rsid w:val="004D5896"/>
    <w:rsid w:val="00546ED8"/>
    <w:rsid w:val="00624668"/>
    <w:rsid w:val="006E1F44"/>
    <w:rsid w:val="00796F15"/>
    <w:rsid w:val="007C2484"/>
    <w:rsid w:val="008D275D"/>
    <w:rsid w:val="00D23211"/>
    <w:rsid w:val="00E202C4"/>
    <w:rsid w:val="00E86199"/>
    <w:rsid w:val="00F22989"/>
    <w:rsid w:val="00F60EE5"/>
    <w:rsid w:val="00F97810"/>
    <w:rsid w:val="00FC6CFD"/>
    <w:rsid w:val="00FF4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C048"/>
  <w15:chartTrackingRefBased/>
  <w15:docId w15:val="{8224E374-44DA-4502-9E15-CA403BB4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E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4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41F1F"/>
    <w:pPr>
      <w:ind w:left="720"/>
      <w:contextualSpacing/>
    </w:pPr>
  </w:style>
  <w:style w:type="paragraph" w:styleId="Sprechblasentext">
    <w:name w:val="Balloon Text"/>
    <w:basedOn w:val="Standard"/>
    <w:link w:val="SprechblasentextZchn"/>
    <w:uiPriority w:val="99"/>
    <w:semiHidden/>
    <w:unhideWhenUsed/>
    <w:rsid w:val="00341F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1F1F"/>
    <w:rPr>
      <w:rFonts w:ascii="Segoe UI" w:hAnsi="Segoe UI" w:cs="Segoe UI"/>
      <w:sz w:val="18"/>
      <w:szCs w:val="18"/>
    </w:rPr>
  </w:style>
  <w:style w:type="paragraph" w:styleId="StandardWeb">
    <w:name w:val="Normal (Web)"/>
    <w:basedOn w:val="Standard"/>
    <w:uiPriority w:val="99"/>
    <w:semiHidden/>
    <w:unhideWhenUsed/>
    <w:rsid w:val="00F60EE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296">
      <w:bodyDiv w:val="1"/>
      <w:marLeft w:val="0"/>
      <w:marRight w:val="0"/>
      <w:marTop w:val="0"/>
      <w:marBottom w:val="0"/>
      <w:divBdr>
        <w:top w:val="none" w:sz="0" w:space="0" w:color="auto"/>
        <w:left w:val="none" w:sz="0" w:space="0" w:color="auto"/>
        <w:bottom w:val="none" w:sz="0" w:space="0" w:color="auto"/>
        <w:right w:val="none" w:sz="0" w:space="0" w:color="auto"/>
      </w:divBdr>
      <w:divsChild>
        <w:div w:id="788667924">
          <w:marLeft w:val="0"/>
          <w:marRight w:val="0"/>
          <w:marTop w:val="0"/>
          <w:marBottom w:val="0"/>
          <w:divBdr>
            <w:top w:val="none" w:sz="0" w:space="0" w:color="auto"/>
            <w:left w:val="none" w:sz="0" w:space="0" w:color="auto"/>
            <w:bottom w:val="none" w:sz="0" w:space="0" w:color="auto"/>
            <w:right w:val="none" w:sz="0" w:space="0" w:color="auto"/>
          </w:divBdr>
        </w:div>
      </w:divsChild>
    </w:div>
    <w:div w:id="198711752">
      <w:bodyDiv w:val="1"/>
      <w:marLeft w:val="0"/>
      <w:marRight w:val="0"/>
      <w:marTop w:val="0"/>
      <w:marBottom w:val="0"/>
      <w:divBdr>
        <w:top w:val="none" w:sz="0" w:space="0" w:color="auto"/>
        <w:left w:val="none" w:sz="0" w:space="0" w:color="auto"/>
        <w:bottom w:val="none" w:sz="0" w:space="0" w:color="auto"/>
        <w:right w:val="none" w:sz="0" w:space="0" w:color="auto"/>
      </w:divBdr>
      <w:divsChild>
        <w:div w:id="1672027762">
          <w:marLeft w:val="0"/>
          <w:marRight w:val="0"/>
          <w:marTop w:val="0"/>
          <w:marBottom w:val="0"/>
          <w:divBdr>
            <w:top w:val="none" w:sz="0" w:space="0" w:color="auto"/>
            <w:left w:val="none" w:sz="0" w:space="0" w:color="auto"/>
            <w:bottom w:val="none" w:sz="0" w:space="0" w:color="auto"/>
            <w:right w:val="none" w:sz="0" w:space="0" w:color="auto"/>
          </w:divBdr>
        </w:div>
      </w:divsChild>
    </w:div>
    <w:div w:id="314139748">
      <w:bodyDiv w:val="1"/>
      <w:marLeft w:val="0"/>
      <w:marRight w:val="0"/>
      <w:marTop w:val="0"/>
      <w:marBottom w:val="0"/>
      <w:divBdr>
        <w:top w:val="none" w:sz="0" w:space="0" w:color="auto"/>
        <w:left w:val="none" w:sz="0" w:space="0" w:color="auto"/>
        <w:bottom w:val="none" w:sz="0" w:space="0" w:color="auto"/>
        <w:right w:val="none" w:sz="0" w:space="0" w:color="auto"/>
      </w:divBdr>
    </w:div>
    <w:div w:id="1053893289">
      <w:bodyDiv w:val="1"/>
      <w:marLeft w:val="0"/>
      <w:marRight w:val="0"/>
      <w:marTop w:val="0"/>
      <w:marBottom w:val="0"/>
      <w:divBdr>
        <w:top w:val="none" w:sz="0" w:space="0" w:color="auto"/>
        <w:left w:val="none" w:sz="0" w:space="0" w:color="auto"/>
        <w:bottom w:val="none" w:sz="0" w:space="0" w:color="auto"/>
        <w:right w:val="none" w:sz="0" w:space="0" w:color="auto"/>
      </w:divBdr>
      <w:divsChild>
        <w:div w:id="443502486">
          <w:marLeft w:val="0"/>
          <w:marRight w:val="0"/>
          <w:marTop w:val="0"/>
          <w:marBottom w:val="0"/>
          <w:divBdr>
            <w:top w:val="none" w:sz="0" w:space="0" w:color="auto"/>
            <w:left w:val="none" w:sz="0" w:space="0" w:color="auto"/>
            <w:bottom w:val="none" w:sz="0" w:space="0" w:color="auto"/>
            <w:right w:val="none" w:sz="0" w:space="0" w:color="auto"/>
          </w:divBdr>
        </w:div>
      </w:divsChild>
    </w:div>
    <w:div w:id="2002659442">
      <w:bodyDiv w:val="1"/>
      <w:marLeft w:val="0"/>
      <w:marRight w:val="0"/>
      <w:marTop w:val="0"/>
      <w:marBottom w:val="0"/>
      <w:divBdr>
        <w:top w:val="none" w:sz="0" w:space="0" w:color="auto"/>
        <w:left w:val="none" w:sz="0" w:space="0" w:color="auto"/>
        <w:bottom w:val="none" w:sz="0" w:space="0" w:color="auto"/>
        <w:right w:val="none" w:sz="0" w:space="0" w:color="auto"/>
      </w:divBdr>
      <w:divsChild>
        <w:div w:id="937446602">
          <w:marLeft w:val="0"/>
          <w:marRight w:val="0"/>
          <w:marTop w:val="0"/>
          <w:marBottom w:val="0"/>
          <w:divBdr>
            <w:top w:val="none" w:sz="0" w:space="0" w:color="auto"/>
            <w:left w:val="none" w:sz="0" w:space="0" w:color="auto"/>
            <w:bottom w:val="none" w:sz="0" w:space="0" w:color="auto"/>
            <w:right w:val="none" w:sz="0" w:space="0" w:color="auto"/>
          </w:divBdr>
          <w:divsChild>
            <w:div w:id="14562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5E3F-0343-4C77-A752-CF0DDC2F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3156</Words>
  <Characters>19884</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2020-11-27T11:12:00Z</dcterms:created>
  <dcterms:modified xsi:type="dcterms:W3CDTF">2020-11-27T13:29:00Z</dcterms:modified>
</cp:coreProperties>
</file>